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F593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A92BFC">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909283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bookmarkStart w:id="61"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17.020</w:t>
            </w:r>
            <w:r>
              <w:rPr>
                <w:rFonts w:ascii="黑体" w:hAnsi="黑体" w:eastAsia="黑体"/>
                <w:sz w:val="21"/>
                <w:szCs w:val="21"/>
              </w:rPr>
              <w:fldChar w:fldCharType="end"/>
            </w:r>
            <w:bookmarkEnd w:id="0"/>
            <w:bookmarkEnd w:id="61"/>
          </w:p>
        </w:tc>
      </w:tr>
      <w:tr w14:paraId="2D6B7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C89C90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7708224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CF17AFE">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XJZJXH</w:t>
                  </w:r>
                  <w:r>
                    <w:fldChar w:fldCharType="end"/>
                  </w:r>
                  <w:bookmarkEnd w:id="1"/>
                </w:p>
              </w:tc>
            </w:tr>
          </w:tbl>
          <w:p w14:paraId="0E1742D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Z01</w:t>
            </w:r>
            <w:r>
              <w:rPr>
                <w:rFonts w:ascii="黑体" w:hAnsi="黑体" w:eastAsia="黑体"/>
                <w:sz w:val="21"/>
                <w:szCs w:val="21"/>
              </w:rPr>
              <w:fldChar w:fldCharType="end"/>
            </w:r>
            <w:bookmarkEnd w:id="2"/>
          </w:p>
        </w:tc>
      </w:tr>
    </w:tbl>
    <w:p w14:paraId="0E5EDA16">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新疆维吾尔自治区质量检验检测协会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7E138F5">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XJZJXH</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6530D55">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B33592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BF04738">
      <w:pPr>
        <w:pStyle w:val="50"/>
        <w:framePr w:w="9639" w:h="6976" w:hRule="exact" w:hSpace="0" w:vSpace="0" w:wrap="around" w:hAnchor="page" w:y="6408"/>
        <w:jc w:val="center"/>
        <w:rPr>
          <w:rFonts w:hint="eastAsia" w:ascii="黑体" w:hAnsi="黑体" w:eastAsia="黑体"/>
          <w:b w:val="0"/>
          <w:bCs w:val="0"/>
          <w:w w:val="100"/>
        </w:rPr>
      </w:pPr>
    </w:p>
    <w:p w14:paraId="4BE91A91">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重点排放单位碳计量管理体系</w:t>
      </w:r>
      <w:r>
        <w:rPr>
          <w:rFonts w:hint="eastAsia"/>
          <w:lang w:eastAsia="zh-CN"/>
        </w:rPr>
        <w:t>实施</w:t>
      </w:r>
      <w:r>
        <w:rPr>
          <w:rFonts w:hint="eastAsia"/>
        </w:rPr>
        <w:t>指南</w:t>
      </w:r>
      <w:r>
        <w:fldChar w:fldCharType="end"/>
      </w:r>
      <w:bookmarkEnd w:id="9"/>
    </w:p>
    <w:p w14:paraId="48AD03D1">
      <w:pPr>
        <w:framePr w:w="9639" w:h="6974" w:hRule="exact" w:wrap="around" w:vAnchor="page" w:hAnchor="page" w:x="1419" w:y="6408" w:anchorLock="1"/>
        <w:ind w:left="-1418"/>
      </w:pPr>
    </w:p>
    <w:p w14:paraId="30784C4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Implementation guide for carbon measurement management system of key carbon emitting entities</w:t>
      </w:r>
      <w:r>
        <w:rPr>
          <w:rFonts w:eastAsia="黑体"/>
          <w:szCs w:val="28"/>
        </w:rPr>
        <w:fldChar w:fldCharType="end"/>
      </w:r>
      <w:bookmarkEnd w:id="10"/>
    </w:p>
    <w:p w14:paraId="12133A74">
      <w:pPr>
        <w:framePr w:w="9639" w:h="6974" w:hRule="exact" w:wrap="around" w:vAnchor="page" w:hAnchor="page" w:x="1419" w:y="6408" w:anchorLock="1"/>
        <w:spacing w:line="760" w:lineRule="exact"/>
        <w:ind w:left="-1418"/>
      </w:pPr>
    </w:p>
    <w:p w14:paraId="06B634E2">
      <w:pPr>
        <w:pStyle w:val="125"/>
        <w:framePr w:w="9639" w:h="6974" w:hRule="exact" w:wrap="around" w:vAnchor="page" w:hAnchor="page" w:x="1419" w:y="6408" w:anchorLock="1"/>
        <w:textAlignment w:val="bottom"/>
        <w:rPr>
          <w:rFonts w:eastAsia="黑体"/>
          <w:szCs w:val="28"/>
        </w:rPr>
      </w:pPr>
    </w:p>
    <w:p w14:paraId="1717732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9AA849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DACE59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CF0211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331CC9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8828BE7">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新疆维吾尔自治区质量检验检测协会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33E0F0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19FAB55">
      <w:pPr>
        <w:pStyle w:val="91"/>
        <w:spacing w:after="360"/>
      </w:pPr>
      <w:bookmarkStart w:id="21" w:name="BookMark1"/>
      <w:r>
        <w:rPr>
          <w:rFonts w:hint="eastAsia"/>
          <w:spacing w:val="320"/>
        </w:rPr>
        <w:t>目</w:t>
      </w:r>
      <w:r>
        <w:rPr>
          <w:rFonts w:hint="eastAsia"/>
        </w:rPr>
        <w:t>次</w:t>
      </w:r>
    </w:p>
    <w:p w14:paraId="271D5FAE">
      <w:pPr>
        <w:pStyle w:val="19"/>
        <w:tabs>
          <w:tab w:val="right" w:leader="dot" w:pos="9344"/>
        </w:tabs>
      </w:pPr>
      <w:r>
        <w:fldChar w:fldCharType="begin"/>
      </w:r>
      <w:r>
        <w:instrText xml:space="preserve"> TOC \o "1-1" \h </w:instrText>
      </w:r>
      <w:r>
        <w:fldChar w:fldCharType="separate"/>
      </w:r>
      <w:r>
        <w:fldChar w:fldCharType="begin"/>
      </w:r>
      <w:r>
        <w:instrText xml:space="preserve"> HYPERLINK \l _Toc17406 </w:instrText>
      </w:r>
      <w:r>
        <w:fldChar w:fldCharType="separate"/>
      </w:r>
      <w:r>
        <w:rPr>
          <w:rFonts w:hint="eastAsia"/>
        </w:rPr>
        <w:t>前言</w:t>
      </w:r>
      <w:r>
        <w:tab/>
      </w:r>
      <w:r>
        <w:fldChar w:fldCharType="begin"/>
      </w:r>
      <w:r>
        <w:instrText xml:space="preserve"> PAGEREF _Toc17406 \h </w:instrText>
      </w:r>
      <w:r>
        <w:fldChar w:fldCharType="separate"/>
      </w:r>
      <w:r>
        <w:t>II</w:t>
      </w:r>
      <w:r>
        <w:fldChar w:fldCharType="end"/>
      </w:r>
      <w:r>
        <w:fldChar w:fldCharType="end"/>
      </w:r>
    </w:p>
    <w:p w14:paraId="071D7DEF">
      <w:pPr>
        <w:pStyle w:val="19"/>
        <w:tabs>
          <w:tab w:val="right" w:leader="dot" w:pos="9344"/>
        </w:tabs>
      </w:pPr>
      <w:r>
        <w:fldChar w:fldCharType="begin"/>
      </w:r>
      <w:r>
        <w:instrText xml:space="preserve"> HYPERLINK \l _Toc22538 </w:instrText>
      </w:r>
      <w:r>
        <w:fldChar w:fldCharType="separate"/>
      </w:r>
      <w:r>
        <w:rPr>
          <w:rFonts w:hint="eastAsia"/>
        </w:rPr>
        <w:t xml:space="preserve">1 </w:t>
      </w:r>
      <w:r>
        <w:rPr>
          <w:rFonts w:hint="eastAsia"/>
          <w:lang w:val="en-US" w:eastAsia="zh-CN"/>
        </w:rPr>
        <w:t xml:space="preserve"> </w:t>
      </w:r>
      <w:r>
        <w:rPr>
          <w:rFonts w:hint="eastAsia"/>
        </w:rPr>
        <w:t>范围</w:t>
      </w:r>
      <w:r>
        <w:tab/>
      </w:r>
      <w:r>
        <w:fldChar w:fldCharType="begin"/>
      </w:r>
      <w:r>
        <w:instrText xml:space="preserve"> PAGEREF _Toc22538 \h </w:instrText>
      </w:r>
      <w:r>
        <w:fldChar w:fldCharType="separate"/>
      </w:r>
      <w:r>
        <w:t>1</w:t>
      </w:r>
      <w:r>
        <w:fldChar w:fldCharType="end"/>
      </w:r>
      <w:r>
        <w:fldChar w:fldCharType="end"/>
      </w:r>
    </w:p>
    <w:p w14:paraId="2D159CF5">
      <w:pPr>
        <w:pStyle w:val="19"/>
        <w:tabs>
          <w:tab w:val="right" w:leader="dot" w:pos="9344"/>
        </w:tabs>
      </w:pPr>
      <w:r>
        <w:fldChar w:fldCharType="begin"/>
      </w:r>
      <w:r>
        <w:instrText xml:space="preserve"> HYPERLINK \l _Toc14287 </w:instrText>
      </w:r>
      <w:r>
        <w:fldChar w:fldCharType="separate"/>
      </w:r>
      <w:r>
        <w:rPr>
          <w:rFonts w:hint="eastAsia"/>
        </w:rPr>
        <w:t xml:space="preserve">2 </w:t>
      </w:r>
      <w:r>
        <w:rPr>
          <w:rFonts w:hint="eastAsia"/>
          <w:lang w:val="en-US" w:eastAsia="zh-CN"/>
        </w:rPr>
        <w:t xml:space="preserve"> </w:t>
      </w:r>
      <w:r>
        <w:rPr>
          <w:rFonts w:hint="eastAsia"/>
        </w:rPr>
        <w:t>规范性引用文件</w:t>
      </w:r>
      <w:r>
        <w:tab/>
      </w:r>
      <w:r>
        <w:fldChar w:fldCharType="begin"/>
      </w:r>
      <w:r>
        <w:instrText xml:space="preserve"> PAGEREF _Toc14287 \h </w:instrText>
      </w:r>
      <w:r>
        <w:fldChar w:fldCharType="separate"/>
      </w:r>
      <w:r>
        <w:t>1</w:t>
      </w:r>
      <w:r>
        <w:fldChar w:fldCharType="end"/>
      </w:r>
      <w:r>
        <w:fldChar w:fldCharType="end"/>
      </w:r>
    </w:p>
    <w:p w14:paraId="3B09CA86">
      <w:pPr>
        <w:pStyle w:val="19"/>
        <w:tabs>
          <w:tab w:val="right" w:leader="dot" w:pos="9344"/>
        </w:tabs>
      </w:pPr>
      <w:r>
        <w:fldChar w:fldCharType="begin"/>
      </w:r>
      <w:r>
        <w:instrText xml:space="preserve"> HYPERLINK \l _Toc15154 </w:instrText>
      </w:r>
      <w:r>
        <w:fldChar w:fldCharType="separate"/>
      </w:r>
      <w:r>
        <w:rPr>
          <w:rFonts w:hint="eastAsia"/>
        </w:rPr>
        <w:t xml:space="preserve">3 </w:t>
      </w:r>
      <w:r>
        <w:rPr>
          <w:rFonts w:hint="eastAsia"/>
          <w:lang w:val="en-US" w:eastAsia="zh-CN"/>
        </w:rPr>
        <w:t xml:space="preserve"> </w:t>
      </w:r>
      <w:r>
        <w:rPr>
          <w:rFonts w:hint="eastAsia"/>
        </w:rPr>
        <w:t>术语和定义</w:t>
      </w:r>
      <w:r>
        <w:tab/>
      </w:r>
      <w:r>
        <w:fldChar w:fldCharType="begin"/>
      </w:r>
      <w:r>
        <w:instrText xml:space="preserve"> PAGEREF _Toc15154 \h </w:instrText>
      </w:r>
      <w:r>
        <w:fldChar w:fldCharType="separate"/>
      </w:r>
      <w:r>
        <w:t>1</w:t>
      </w:r>
      <w:r>
        <w:fldChar w:fldCharType="end"/>
      </w:r>
      <w:r>
        <w:fldChar w:fldCharType="end"/>
      </w:r>
    </w:p>
    <w:p w14:paraId="7C0A525C">
      <w:pPr>
        <w:pStyle w:val="19"/>
        <w:tabs>
          <w:tab w:val="right" w:leader="dot" w:pos="9344"/>
        </w:tabs>
      </w:pPr>
      <w:r>
        <w:fldChar w:fldCharType="begin"/>
      </w:r>
      <w:r>
        <w:instrText xml:space="preserve"> HYPERLINK \l _Toc9643 </w:instrText>
      </w:r>
      <w:r>
        <w:fldChar w:fldCharType="separate"/>
      </w:r>
      <w:r>
        <w:rPr>
          <w:rFonts w:hint="eastAsia"/>
          <w:lang w:val="en-US" w:eastAsia="zh-CN"/>
        </w:rPr>
        <w:t>4  实施原则</w:t>
      </w:r>
      <w:r>
        <w:tab/>
      </w:r>
      <w:r>
        <w:fldChar w:fldCharType="begin"/>
      </w:r>
      <w:r>
        <w:instrText xml:space="preserve"> PAGEREF _Toc9643 \h </w:instrText>
      </w:r>
      <w:r>
        <w:fldChar w:fldCharType="separate"/>
      </w:r>
      <w:r>
        <w:t>2</w:t>
      </w:r>
      <w:r>
        <w:fldChar w:fldCharType="end"/>
      </w:r>
      <w:r>
        <w:fldChar w:fldCharType="end"/>
      </w:r>
    </w:p>
    <w:p w14:paraId="7A62A4CE">
      <w:pPr>
        <w:pStyle w:val="19"/>
        <w:tabs>
          <w:tab w:val="right" w:leader="dot" w:pos="9344"/>
        </w:tabs>
      </w:pPr>
      <w:r>
        <w:fldChar w:fldCharType="begin"/>
      </w:r>
      <w:r>
        <w:instrText xml:space="preserve"> HYPERLINK \l _Toc12874 </w:instrText>
      </w:r>
      <w:r>
        <w:fldChar w:fldCharType="separate"/>
      </w:r>
      <w:r>
        <w:rPr>
          <w:rFonts w:hint="eastAsia"/>
          <w:lang w:val="en-US" w:eastAsia="zh-CN"/>
        </w:rPr>
        <w:t>5  总体要求</w:t>
      </w:r>
      <w:r>
        <w:tab/>
      </w:r>
      <w:r>
        <w:fldChar w:fldCharType="begin"/>
      </w:r>
      <w:r>
        <w:instrText xml:space="preserve"> PAGEREF _Toc12874 \h </w:instrText>
      </w:r>
      <w:r>
        <w:fldChar w:fldCharType="separate"/>
      </w:r>
      <w:r>
        <w:t>2</w:t>
      </w:r>
      <w:r>
        <w:fldChar w:fldCharType="end"/>
      </w:r>
      <w:r>
        <w:fldChar w:fldCharType="end"/>
      </w:r>
    </w:p>
    <w:p w14:paraId="5FEA72FE">
      <w:pPr>
        <w:pStyle w:val="19"/>
        <w:tabs>
          <w:tab w:val="right" w:leader="dot" w:pos="9344"/>
        </w:tabs>
      </w:pPr>
      <w:r>
        <w:fldChar w:fldCharType="begin"/>
      </w:r>
      <w:r>
        <w:instrText xml:space="preserve"> HYPERLINK \l _Toc27259 </w:instrText>
      </w:r>
      <w:r>
        <w:fldChar w:fldCharType="separate"/>
      </w:r>
      <w:r>
        <w:rPr>
          <w:rFonts w:hint="eastAsia"/>
          <w:lang w:val="en-US" w:eastAsia="zh-CN"/>
        </w:rPr>
        <w:t>6  组织架构与职责</w:t>
      </w:r>
      <w:r>
        <w:tab/>
      </w:r>
      <w:r>
        <w:fldChar w:fldCharType="begin"/>
      </w:r>
      <w:r>
        <w:instrText xml:space="preserve"> PAGEREF _Toc27259 \h </w:instrText>
      </w:r>
      <w:r>
        <w:fldChar w:fldCharType="separate"/>
      </w:r>
      <w:r>
        <w:t>2</w:t>
      </w:r>
      <w:r>
        <w:fldChar w:fldCharType="end"/>
      </w:r>
      <w:r>
        <w:fldChar w:fldCharType="end"/>
      </w:r>
    </w:p>
    <w:p w14:paraId="254E6655">
      <w:pPr>
        <w:pStyle w:val="19"/>
        <w:tabs>
          <w:tab w:val="right" w:leader="dot" w:pos="9344"/>
        </w:tabs>
      </w:pPr>
      <w:r>
        <w:fldChar w:fldCharType="begin"/>
      </w:r>
      <w:r>
        <w:instrText xml:space="preserve"> HYPERLINK \l _Toc8490 </w:instrText>
      </w:r>
      <w:r>
        <w:fldChar w:fldCharType="separate"/>
      </w:r>
      <w:r>
        <w:rPr>
          <w:rFonts w:hint="eastAsia"/>
          <w:lang w:val="en-US" w:eastAsia="zh-CN"/>
        </w:rPr>
        <w:t>7  目标设定</w:t>
      </w:r>
      <w:r>
        <w:tab/>
      </w:r>
      <w:r>
        <w:fldChar w:fldCharType="begin"/>
      </w:r>
      <w:r>
        <w:instrText xml:space="preserve"> PAGEREF _Toc8490 \h </w:instrText>
      </w:r>
      <w:r>
        <w:fldChar w:fldCharType="separate"/>
      </w:r>
      <w:r>
        <w:t>3</w:t>
      </w:r>
      <w:r>
        <w:fldChar w:fldCharType="end"/>
      </w:r>
      <w:r>
        <w:fldChar w:fldCharType="end"/>
      </w:r>
    </w:p>
    <w:p w14:paraId="7FF74F5B">
      <w:pPr>
        <w:pStyle w:val="19"/>
        <w:tabs>
          <w:tab w:val="right" w:leader="dot" w:pos="9344"/>
        </w:tabs>
      </w:pPr>
      <w:r>
        <w:fldChar w:fldCharType="begin"/>
      </w:r>
      <w:r>
        <w:instrText xml:space="preserve"> HYPERLINK \l _Toc13065 </w:instrText>
      </w:r>
      <w:r>
        <w:fldChar w:fldCharType="separate"/>
      </w:r>
      <w:r>
        <w:rPr>
          <w:rFonts w:hint="eastAsia"/>
          <w:lang w:val="en-US" w:eastAsia="zh-CN"/>
        </w:rPr>
        <w:t>8  制度建设</w:t>
      </w:r>
      <w:r>
        <w:tab/>
      </w:r>
      <w:r>
        <w:fldChar w:fldCharType="begin"/>
      </w:r>
      <w:r>
        <w:instrText xml:space="preserve"> PAGEREF _Toc13065 \h </w:instrText>
      </w:r>
      <w:r>
        <w:fldChar w:fldCharType="separate"/>
      </w:r>
      <w:r>
        <w:t>3</w:t>
      </w:r>
      <w:r>
        <w:fldChar w:fldCharType="end"/>
      </w:r>
      <w:r>
        <w:fldChar w:fldCharType="end"/>
      </w:r>
    </w:p>
    <w:p w14:paraId="7425A22B">
      <w:pPr>
        <w:pStyle w:val="19"/>
        <w:tabs>
          <w:tab w:val="right" w:leader="dot" w:pos="9344"/>
        </w:tabs>
      </w:pPr>
      <w:r>
        <w:fldChar w:fldCharType="begin"/>
      </w:r>
      <w:r>
        <w:instrText xml:space="preserve"> HYPERLINK \l _Toc8343 </w:instrText>
      </w:r>
      <w:r>
        <w:fldChar w:fldCharType="separate"/>
      </w:r>
      <w:r>
        <w:rPr>
          <w:rFonts w:hint="eastAsia"/>
          <w:lang w:val="en-US" w:eastAsia="zh-CN"/>
        </w:rPr>
        <w:t>9  资源配置</w:t>
      </w:r>
      <w:r>
        <w:tab/>
      </w:r>
      <w:r>
        <w:fldChar w:fldCharType="begin"/>
      </w:r>
      <w:r>
        <w:instrText xml:space="preserve"> PAGEREF _Toc8343 \h </w:instrText>
      </w:r>
      <w:r>
        <w:fldChar w:fldCharType="separate"/>
      </w:r>
      <w:r>
        <w:t>4</w:t>
      </w:r>
      <w:r>
        <w:fldChar w:fldCharType="end"/>
      </w:r>
      <w:r>
        <w:fldChar w:fldCharType="end"/>
      </w:r>
    </w:p>
    <w:p w14:paraId="0C38E0D8">
      <w:pPr>
        <w:pStyle w:val="19"/>
        <w:tabs>
          <w:tab w:val="right" w:leader="dot" w:pos="9344"/>
        </w:tabs>
      </w:pPr>
      <w:r>
        <w:fldChar w:fldCharType="begin"/>
      </w:r>
      <w:r>
        <w:instrText xml:space="preserve"> HYPERLINK \l _Toc24477 </w:instrText>
      </w:r>
      <w:r>
        <w:fldChar w:fldCharType="separate"/>
      </w:r>
      <w:r>
        <w:rPr>
          <w:rFonts w:hint="eastAsia"/>
          <w:lang w:val="en-US" w:eastAsia="zh-CN"/>
        </w:rPr>
        <w:t>10  实施流程</w:t>
      </w:r>
      <w:r>
        <w:tab/>
      </w:r>
      <w:r>
        <w:fldChar w:fldCharType="begin"/>
      </w:r>
      <w:r>
        <w:instrText xml:space="preserve"> PAGEREF _Toc24477 \h </w:instrText>
      </w:r>
      <w:r>
        <w:fldChar w:fldCharType="separate"/>
      </w:r>
      <w:r>
        <w:t>5</w:t>
      </w:r>
      <w:r>
        <w:fldChar w:fldCharType="end"/>
      </w:r>
      <w:r>
        <w:fldChar w:fldCharType="end"/>
      </w:r>
    </w:p>
    <w:p w14:paraId="0E59F512">
      <w:pPr>
        <w:pStyle w:val="19"/>
        <w:tabs>
          <w:tab w:val="right" w:leader="dot" w:pos="9344"/>
        </w:tabs>
      </w:pPr>
      <w:r>
        <w:fldChar w:fldCharType="begin"/>
      </w:r>
      <w:r>
        <w:instrText xml:space="preserve"> HYPERLINK \l _Toc30698 </w:instrText>
      </w:r>
      <w:r>
        <w:fldChar w:fldCharType="separate"/>
      </w:r>
      <w:r>
        <w:rPr>
          <w:rFonts w:hint="eastAsia"/>
          <w:lang w:val="en-US" w:eastAsia="zh-CN"/>
        </w:rPr>
        <w:t>11  监督评价</w:t>
      </w:r>
      <w:r>
        <w:tab/>
      </w:r>
      <w:r>
        <w:fldChar w:fldCharType="begin"/>
      </w:r>
      <w:r>
        <w:instrText xml:space="preserve"> PAGEREF _Toc30698 \h </w:instrText>
      </w:r>
      <w:r>
        <w:fldChar w:fldCharType="separate"/>
      </w:r>
      <w:r>
        <w:t>8</w:t>
      </w:r>
      <w:r>
        <w:fldChar w:fldCharType="end"/>
      </w:r>
      <w:r>
        <w:fldChar w:fldCharType="end"/>
      </w:r>
    </w:p>
    <w:p w14:paraId="506988EF">
      <w:pPr>
        <w:pStyle w:val="19"/>
        <w:tabs>
          <w:tab w:val="right" w:leader="dot" w:pos="9344"/>
        </w:tabs>
      </w:pPr>
      <w:r>
        <w:fldChar w:fldCharType="begin"/>
      </w:r>
      <w:r>
        <w:instrText xml:space="preserve"> HYPERLINK \l _Toc10647 </w:instrText>
      </w:r>
      <w:r>
        <w:fldChar w:fldCharType="separate"/>
      </w:r>
      <w:r>
        <w:rPr>
          <w:rFonts w:hint="eastAsia"/>
          <w:lang w:val="en-US" w:eastAsia="zh-CN"/>
        </w:rPr>
        <w:t>12  持续改进</w:t>
      </w:r>
      <w:r>
        <w:tab/>
      </w:r>
      <w:r>
        <w:fldChar w:fldCharType="begin"/>
      </w:r>
      <w:r>
        <w:instrText xml:space="preserve"> PAGEREF _Toc10647 \h </w:instrText>
      </w:r>
      <w:r>
        <w:fldChar w:fldCharType="separate"/>
      </w:r>
      <w:r>
        <w:t>9</w:t>
      </w:r>
      <w:r>
        <w:fldChar w:fldCharType="end"/>
      </w:r>
      <w:r>
        <w:fldChar w:fldCharType="end"/>
      </w:r>
    </w:p>
    <w:p w14:paraId="5517604B">
      <w:pPr>
        <w:pStyle w:val="19"/>
        <w:tabs>
          <w:tab w:val="right" w:leader="dot" w:pos="9344"/>
        </w:tabs>
      </w:pPr>
      <w:r>
        <w:fldChar w:fldCharType="begin"/>
      </w:r>
      <w:r>
        <w:instrText xml:space="preserve"> HYPERLINK \l _Toc29894 </w:instrText>
      </w:r>
      <w:r>
        <w:fldChar w:fldCharType="separate"/>
      </w:r>
      <w:r>
        <w:rPr>
          <w:rFonts w:hint="eastAsia"/>
        </w:rPr>
        <w:t>参考文献</w:t>
      </w:r>
      <w:r>
        <w:tab/>
      </w:r>
      <w:r>
        <w:fldChar w:fldCharType="begin"/>
      </w:r>
      <w:r>
        <w:instrText xml:space="preserve"> PAGEREF _Toc29894 \h </w:instrText>
      </w:r>
      <w:r>
        <w:fldChar w:fldCharType="separate"/>
      </w:r>
      <w:r>
        <w:t>11</w:t>
      </w:r>
      <w:r>
        <w:fldChar w:fldCharType="end"/>
      </w:r>
      <w:r>
        <w:fldChar w:fldCharType="end"/>
      </w:r>
    </w:p>
    <w:p w14:paraId="713950A2">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4B656793">
      <w:pPr>
        <w:pStyle w:val="89"/>
        <w:spacing w:before="560" w:after="360"/>
      </w:pPr>
      <w:bookmarkStart w:id="22" w:name="_Toc17406"/>
      <w:bookmarkStart w:id="23" w:name="BookMark2"/>
      <w:r>
        <w:rPr>
          <w:rFonts w:hint="eastAsia"/>
          <w:spacing w:val="320"/>
        </w:rPr>
        <w:t>前</w:t>
      </w:r>
      <w:r>
        <w:rPr>
          <w:rFonts w:hint="eastAsia"/>
        </w:rPr>
        <w:t>言</w:t>
      </w:r>
      <w:bookmarkEnd w:id="22"/>
    </w:p>
    <w:p w14:paraId="3E57687B">
      <w:pPr>
        <w:pStyle w:val="56"/>
        <w:ind w:firstLine="420"/>
      </w:pPr>
      <w:r>
        <w:rPr>
          <w:rFonts w:hint="eastAsia"/>
        </w:rPr>
        <w:t>本文件按照GB/T 1.1—2020《标准化工作导则  第1部分：标准化文件的结构和起草规则》的规定起草。</w:t>
      </w:r>
    </w:p>
    <w:p w14:paraId="53E8D7AC">
      <w:pPr>
        <w:pStyle w:val="56"/>
        <w:ind w:firstLine="420"/>
      </w:pPr>
      <w:r>
        <w:rPr>
          <w:rFonts w:hint="eastAsia"/>
        </w:rPr>
        <w:t>本文件由新疆维吾尔自治区计量测试研究院提出。</w:t>
      </w:r>
    </w:p>
    <w:p w14:paraId="26A6C584">
      <w:pPr>
        <w:pStyle w:val="56"/>
        <w:ind w:firstLine="420"/>
      </w:pPr>
      <w:r>
        <w:rPr>
          <w:rFonts w:hint="eastAsia"/>
        </w:rPr>
        <w:t>本文件由新疆维吾尔自治区质量检验检测协会归口。</w:t>
      </w:r>
    </w:p>
    <w:p w14:paraId="66F41F3C">
      <w:pPr>
        <w:pStyle w:val="56"/>
        <w:ind w:firstLine="420"/>
      </w:pPr>
      <w:r>
        <w:rPr>
          <w:rFonts w:hint="eastAsia"/>
        </w:rPr>
        <w:t>本文件起草单位：新疆维吾尔自治区计量测试研究院。</w:t>
      </w:r>
    </w:p>
    <w:p w14:paraId="11770DBB">
      <w:pPr>
        <w:pStyle w:val="56"/>
        <w:ind w:firstLine="420"/>
      </w:pPr>
      <w:r>
        <w:rPr>
          <w:rFonts w:hint="eastAsia"/>
        </w:rPr>
        <w:t>本文件主要起草人：武文晶、马君刚、马磊磊、曼丽丹、刘思佳。</w:t>
      </w:r>
    </w:p>
    <w:p w14:paraId="160509EB">
      <w:pPr>
        <w:pStyle w:val="56"/>
        <w:ind w:firstLine="420"/>
      </w:pPr>
    </w:p>
    <w:p w14:paraId="1BCCC9FF">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1ED39840">
      <w:pPr>
        <w:spacing w:line="20" w:lineRule="exact"/>
        <w:jc w:val="center"/>
        <w:rPr>
          <w:rFonts w:hint="eastAsia" w:ascii="黑体" w:hAnsi="黑体" w:eastAsia="黑体"/>
          <w:sz w:val="32"/>
          <w:szCs w:val="32"/>
        </w:rPr>
      </w:pPr>
      <w:bookmarkStart w:id="24" w:name="BookMark4"/>
    </w:p>
    <w:p w14:paraId="368489C5">
      <w:pPr>
        <w:spacing w:line="20" w:lineRule="exact"/>
        <w:jc w:val="center"/>
        <w:rPr>
          <w:rFonts w:hint="eastAsia" w:ascii="黑体" w:hAnsi="黑体" w:eastAsia="黑体"/>
          <w:sz w:val="32"/>
          <w:szCs w:val="32"/>
        </w:rPr>
      </w:pPr>
    </w:p>
    <w:sdt>
      <w:sdtPr>
        <w:tag w:val="NEW_STAND_NAME"/>
        <w:id w:val="595910757"/>
        <w:lock w:val="sdtLocked"/>
        <w:placeholder>
          <w:docPart w:val="3A0135BBEF4249A3B75861AE5449DAB2"/>
        </w:placeholder>
      </w:sdtPr>
      <w:sdtContent>
        <w:p w14:paraId="15A61F17">
          <w:pPr>
            <w:pStyle w:val="177"/>
            <w:spacing w:before="2" w:beforeLines="1" w:after="528" w:afterLines="220"/>
            <w:rPr>
              <w:rFonts w:hint="eastAsia"/>
            </w:rPr>
          </w:pPr>
          <w:bookmarkStart w:id="25" w:name="NEW_STAND_NAME"/>
          <w:r>
            <w:rPr>
              <w:rFonts w:hint="eastAsia"/>
            </w:rPr>
            <w:t>重点排放单位碳计量管理体系实施指南</w:t>
          </w:r>
        </w:p>
      </w:sdtContent>
    </w:sdt>
    <w:bookmarkEnd w:id="25"/>
    <w:p w14:paraId="210364A3">
      <w:pPr>
        <w:pStyle w:val="104"/>
        <w:spacing w:before="240" w:after="240"/>
      </w:pPr>
      <w:bookmarkStart w:id="26" w:name="_Toc17233333"/>
      <w:bookmarkStart w:id="27" w:name="_Toc24884211"/>
      <w:bookmarkStart w:id="28" w:name="_Toc26986771"/>
      <w:bookmarkStart w:id="29" w:name="_Toc17233325"/>
      <w:bookmarkStart w:id="30" w:name="_Toc26986530"/>
      <w:bookmarkStart w:id="31" w:name="_Toc24884218"/>
      <w:bookmarkStart w:id="32" w:name="_Toc26718930"/>
      <w:bookmarkStart w:id="33" w:name="_Toc26648465"/>
      <w:bookmarkStart w:id="34" w:name="_Toc22538"/>
      <w:bookmarkStart w:id="35" w:name="_Toc97192964"/>
      <w:r>
        <w:rPr>
          <w:rFonts w:hint="eastAsia"/>
        </w:rPr>
        <w:t>范围</w:t>
      </w:r>
      <w:bookmarkEnd w:id="26"/>
      <w:bookmarkEnd w:id="27"/>
      <w:bookmarkEnd w:id="28"/>
      <w:bookmarkEnd w:id="29"/>
      <w:bookmarkEnd w:id="30"/>
      <w:bookmarkEnd w:id="31"/>
      <w:bookmarkEnd w:id="32"/>
      <w:bookmarkEnd w:id="33"/>
      <w:bookmarkEnd w:id="34"/>
      <w:bookmarkEnd w:id="35"/>
    </w:p>
    <w:p w14:paraId="35EA1EB2">
      <w:pPr>
        <w:pStyle w:val="56"/>
        <w:ind w:firstLine="420"/>
      </w:pPr>
      <w:bookmarkStart w:id="36" w:name="_Toc17233334"/>
      <w:bookmarkStart w:id="37" w:name="_Toc26648466"/>
      <w:bookmarkStart w:id="38" w:name="_Toc17233326"/>
      <w:bookmarkStart w:id="39" w:name="_Toc24884219"/>
      <w:bookmarkStart w:id="40" w:name="_Toc24884212"/>
      <w:r>
        <w:rPr>
          <w:rFonts w:hint="eastAsia"/>
        </w:rPr>
        <w:t>本文件规定了重点排放单位碳计量管理体系的实施原则、总体要求、组织架构与职责、目标设定、制度建设、资源配置、实施流程、监督评价及持续改进等要求。</w:t>
      </w:r>
    </w:p>
    <w:p w14:paraId="1A388C4C">
      <w:pPr>
        <w:pStyle w:val="56"/>
        <w:ind w:firstLine="420"/>
      </w:pPr>
      <w:r>
        <w:rPr>
          <w:rFonts w:hint="eastAsia"/>
        </w:rPr>
        <w:t>本文件适用于重点排放单位，用于指导其规范、高效实施碳计量管理体系，也可作为相关机构开展碳计量管理咨询、评估等工作的参考依据。</w:t>
      </w:r>
    </w:p>
    <w:p w14:paraId="066AF33D">
      <w:pPr>
        <w:pStyle w:val="104"/>
        <w:spacing w:before="240" w:after="240"/>
      </w:pPr>
      <w:bookmarkStart w:id="41" w:name="_Toc26718931"/>
      <w:bookmarkStart w:id="42" w:name="_Toc97192965"/>
      <w:bookmarkStart w:id="43" w:name="_Toc26986531"/>
      <w:bookmarkStart w:id="44" w:name="_Toc14287"/>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0F9EC3DBE80444098CDC60318711D6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002246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C2D401">
      <w:pPr>
        <w:pStyle w:val="56"/>
        <w:ind w:firstLine="420"/>
        <w:rPr>
          <w:rFonts w:hint="eastAsia"/>
        </w:rPr>
      </w:pPr>
      <w:r>
        <w:rPr>
          <w:rFonts w:hint="eastAsia"/>
        </w:rPr>
        <w:t>GB 17167 用能单位能源计量器具配备和管理通则</w:t>
      </w:r>
    </w:p>
    <w:p w14:paraId="66E0ADC4">
      <w:pPr>
        <w:pStyle w:val="56"/>
        <w:ind w:firstLine="420"/>
        <w:rPr>
          <w:rFonts w:hint="eastAsia"/>
        </w:rPr>
      </w:pPr>
      <w:r>
        <w:rPr>
          <w:rFonts w:hint="eastAsia"/>
        </w:rPr>
        <w:t>GB/T 27025 检测和校准实验室能力的通用要求</w:t>
      </w:r>
    </w:p>
    <w:p w14:paraId="3FBD4FFF">
      <w:pPr>
        <w:pStyle w:val="56"/>
        <w:ind w:firstLine="420"/>
        <w:rPr>
          <w:rFonts w:hint="eastAsia"/>
        </w:rPr>
      </w:pPr>
      <w:r>
        <w:rPr>
          <w:rFonts w:hint="eastAsia"/>
        </w:rPr>
        <w:t>GB/T 32150 工业企业温室气体排放核算和报告通则</w:t>
      </w:r>
    </w:p>
    <w:p w14:paraId="75D9C862">
      <w:pPr>
        <w:pStyle w:val="56"/>
        <w:ind w:firstLine="420"/>
        <w:rPr>
          <w:rFonts w:hint="eastAsia"/>
        </w:rPr>
      </w:pPr>
      <w:r>
        <w:rPr>
          <w:rFonts w:hint="eastAsia"/>
        </w:rPr>
        <w:t>GB/T 32151 温室气体排放核算与报告要求</w:t>
      </w:r>
    </w:p>
    <w:p w14:paraId="7884C696">
      <w:pPr>
        <w:pStyle w:val="56"/>
        <w:ind w:firstLine="420"/>
        <w:rPr>
          <w:rFonts w:hint="eastAsia"/>
        </w:rPr>
      </w:pPr>
      <w:r>
        <w:rPr>
          <w:rFonts w:hint="eastAsia"/>
        </w:rPr>
        <w:t>JJF 2309 重点排放单位碳计量审查规范</w:t>
      </w:r>
    </w:p>
    <w:p w14:paraId="7D3B7AED">
      <w:pPr>
        <w:pStyle w:val="56"/>
        <w:ind w:firstLine="420"/>
        <w:rPr>
          <w:rFonts w:hint="eastAsia" w:eastAsia="宋体"/>
          <w:lang w:eastAsia="zh-CN"/>
        </w:rPr>
      </w:pPr>
      <w:r>
        <w:rPr>
          <w:rFonts w:hint="eastAsia"/>
        </w:rPr>
        <w:t>DB13/T 6146 重点排放单位碳排放计量管理体系建设指</w:t>
      </w:r>
      <w:r>
        <w:rPr>
          <w:rFonts w:hint="eastAsia"/>
          <w:lang w:eastAsia="zh-CN"/>
        </w:rPr>
        <w:t>南</w:t>
      </w:r>
    </w:p>
    <w:p w14:paraId="58B3E9C0">
      <w:pPr>
        <w:pStyle w:val="104"/>
        <w:spacing w:before="240" w:after="240"/>
      </w:pPr>
      <w:bookmarkStart w:id="46" w:name="_Toc15154"/>
      <w:bookmarkStart w:id="47" w:name="_Toc97192966"/>
      <w:r>
        <w:rPr>
          <w:rFonts w:hint="eastAsia"/>
          <w:szCs w:val="21"/>
        </w:rPr>
        <w:t>术语和定义</w:t>
      </w:r>
      <w:bookmarkEnd w:id="46"/>
      <w:bookmarkEnd w:id="47"/>
    </w:p>
    <w:sdt>
      <w:sdtPr>
        <w:id w:val="147457788"/>
        <w:placeholder>
          <w:docPart w:val="{64c8ecb1-c680-45ea-8c6f-568a3bd8e40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14:paraId="091B5A66">
          <w:pPr>
            <w:pStyle w:val="56"/>
            <w:ind w:firstLine="420"/>
            <w:rPr>
              <w:highlight w:val="none"/>
            </w:rPr>
          </w:pPr>
          <w:bookmarkStart w:id="48" w:name="_Toc26986532"/>
          <w:bookmarkEnd w:id="48"/>
          <w:r>
            <w:rPr>
              <w:rFonts w:hint="eastAsia"/>
              <w:highlight w:val="none"/>
            </w:rPr>
            <w:t>JJF 2309</w:t>
          </w:r>
          <w:r>
            <w:rPr>
              <w:rFonts w:hint="eastAsia"/>
              <w:highlight w:val="none"/>
              <w:lang w:eastAsia="zh-CN"/>
            </w:rPr>
            <w:t>、</w:t>
          </w:r>
          <w:r>
            <w:rPr>
              <w:highlight w:val="none"/>
            </w:rPr>
            <w:t>GB/T 32150</w:t>
          </w:r>
          <w:r>
            <w:rPr>
              <w:rFonts w:hint="eastAsia"/>
              <w:highlight w:val="none"/>
              <w:lang w:eastAsia="zh-CN"/>
            </w:rPr>
            <w:t>、</w:t>
          </w:r>
          <w:r>
            <w:rPr>
              <w:rFonts w:hint="eastAsia"/>
              <w:highlight w:val="none"/>
              <w:lang w:val="en-US" w:eastAsia="zh-CN"/>
            </w:rPr>
            <w:t>GB/T 32151</w:t>
          </w:r>
          <w:r>
            <w:rPr>
              <w:highlight w:val="none"/>
            </w:rPr>
            <w:t>界定的以及下列术语和定义适用于本文件。</w:t>
          </w:r>
        </w:p>
      </w:sdtContent>
    </w:sdt>
    <w:p w14:paraId="5822C750">
      <w:pPr>
        <w:pStyle w:val="223"/>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 xml:space="preserve">重点排放单位 </w:t>
      </w:r>
      <w:r>
        <w:rPr>
          <w:rFonts w:hint="eastAsia" w:ascii="黑体" w:hAnsi="黑体" w:eastAsia="黑体"/>
          <w:b/>
          <w:bCs/>
          <w:highlight w:val="none"/>
        </w:rPr>
        <w:t>keyemittingentity of greenhouse gas emissions</w:t>
      </w:r>
    </w:p>
    <w:p w14:paraId="437BB5D7">
      <w:pPr>
        <w:pStyle w:val="56"/>
        <w:ind w:firstLine="420"/>
        <w:rPr>
          <w:rFonts w:hint="eastAsia"/>
          <w:highlight w:val="none"/>
          <w:lang w:val="en-US" w:eastAsia="zh-CN"/>
        </w:rPr>
      </w:pPr>
      <w:r>
        <w:rPr>
          <w:rFonts w:hint="eastAsia"/>
          <w:highlight w:val="none"/>
          <w:lang w:val="en-US" w:eastAsia="zh-CN"/>
        </w:rPr>
        <w:t>全国碳排放权交易市场覆盖行业内年度温室气体排放量达到2.6万t二氧化碳当量的温室气体排放单位。</w:t>
      </w:r>
    </w:p>
    <w:p w14:paraId="44D09A57">
      <w:pPr>
        <w:pStyle w:val="223"/>
        <w:numPr>
          <w:ilvl w:val="2"/>
          <w:numId w:val="0"/>
        </w:numPr>
        <w:ind w:leftChars="-200" w:firstLine="840" w:firstLineChars="400"/>
        <w:rPr>
          <w:rFonts w:ascii="黑体" w:hAnsi="黑体" w:eastAsia="黑体"/>
          <w:highlight w:val="none"/>
        </w:rPr>
      </w:pPr>
      <w:r>
        <w:rPr>
          <w:rFonts w:hint="eastAsia"/>
          <w:highlight w:val="none"/>
        </w:rPr>
        <w:t>[来源：JJF 2309，3.</w:t>
      </w:r>
      <w:r>
        <w:rPr>
          <w:rFonts w:hint="eastAsia"/>
          <w:highlight w:val="none"/>
          <w:lang w:val="en-US" w:eastAsia="zh-CN"/>
        </w:rPr>
        <w:t>4</w:t>
      </w:r>
      <w:r>
        <w:rPr>
          <w:rFonts w:hint="eastAsia"/>
          <w:highlight w:val="none"/>
        </w:rPr>
        <w:t>]</w:t>
      </w:r>
    </w:p>
    <w:p w14:paraId="7967A0E4">
      <w:pPr>
        <w:pStyle w:val="223"/>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eastAsia="zh-CN"/>
        </w:rPr>
        <w:t>碳计量</w:t>
      </w:r>
      <w:r>
        <w:rPr>
          <w:rFonts w:hint="eastAsia" w:ascii="黑体" w:hAnsi="黑体" w:eastAsia="黑体"/>
          <w:highlight w:val="none"/>
        </w:rPr>
        <w:t xml:space="preserve"> </w:t>
      </w:r>
      <w:r>
        <w:rPr>
          <w:rFonts w:hint="eastAsia" w:ascii="黑体" w:hAnsi="黑体" w:eastAsia="黑体"/>
          <w:b/>
          <w:bCs/>
          <w:highlight w:val="none"/>
        </w:rPr>
        <w:t>carbon</w:t>
      </w:r>
      <w:r>
        <w:rPr>
          <w:rFonts w:hint="eastAsia" w:ascii="黑体" w:hAnsi="黑体" w:eastAsia="黑体"/>
          <w:b/>
          <w:bCs/>
          <w:highlight w:val="none"/>
          <w:lang w:val="en-US" w:eastAsia="zh-CN"/>
        </w:rPr>
        <w:t xml:space="preserve"> </w:t>
      </w:r>
      <w:r>
        <w:rPr>
          <w:rFonts w:hint="eastAsia" w:ascii="黑体" w:hAnsi="黑体" w:eastAsia="黑体"/>
          <w:b/>
          <w:bCs/>
          <w:highlight w:val="none"/>
        </w:rPr>
        <w:t>measuring</w:t>
      </w:r>
    </w:p>
    <w:p w14:paraId="1DF769FD">
      <w:pPr>
        <w:pStyle w:val="56"/>
        <w:ind w:firstLine="420"/>
        <w:rPr>
          <w:rFonts w:hint="eastAsia"/>
          <w:highlight w:val="none"/>
          <w:lang w:val="en-US" w:eastAsia="zh-CN"/>
        </w:rPr>
      </w:pPr>
      <w:r>
        <w:rPr>
          <w:rFonts w:hint="eastAsia"/>
          <w:highlight w:val="none"/>
          <w:lang w:val="en-US" w:eastAsia="zh-CN"/>
        </w:rPr>
        <w:t>关于碳测量的科学及其应用，是实现碳测量单位统一、量值准确可靠的活动，主要包括在温室气体的产生、转移、清除、交易和管理等各个环节中，为保证温室气体排放（清除）的数量、质量、效率的准确测量而开展的各类计量技术和管理活动。</w:t>
      </w:r>
    </w:p>
    <w:p w14:paraId="6C4BF625">
      <w:pPr>
        <w:pStyle w:val="223"/>
        <w:numPr>
          <w:ilvl w:val="2"/>
          <w:numId w:val="0"/>
        </w:numPr>
        <w:ind w:leftChars="-200" w:firstLine="840" w:firstLineChars="400"/>
        <w:rPr>
          <w:highlight w:val="none"/>
        </w:rPr>
      </w:pPr>
      <w:r>
        <w:rPr>
          <w:rFonts w:hint="eastAsia"/>
          <w:highlight w:val="none"/>
        </w:rPr>
        <w:t>[来源：JJF 2309，3.</w:t>
      </w:r>
      <w:r>
        <w:rPr>
          <w:rFonts w:hint="eastAsia"/>
          <w:highlight w:val="none"/>
          <w:lang w:val="en-US" w:eastAsia="zh-CN"/>
        </w:rPr>
        <w:t>1</w:t>
      </w:r>
      <w:r>
        <w:rPr>
          <w:rFonts w:hint="eastAsia"/>
          <w:highlight w:val="none"/>
        </w:rPr>
        <w:t>]</w:t>
      </w:r>
    </w:p>
    <w:p w14:paraId="13D96693">
      <w:pPr>
        <w:pStyle w:val="223"/>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eastAsia="zh-CN"/>
        </w:rPr>
        <w:t>碳计量</w:t>
      </w:r>
      <w:r>
        <w:rPr>
          <w:rFonts w:hint="eastAsia" w:ascii="黑体" w:hAnsi="黑体" w:eastAsia="黑体"/>
          <w:highlight w:val="none"/>
        </w:rPr>
        <w:t xml:space="preserve">管理体系 </w:t>
      </w:r>
      <w:r>
        <w:rPr>
          <w:rFonts w:hint="eastAsia" w:ascii="黑体" w:hAnsi="黑体" w:eastAsia="黑体"/>
          <w:b/>
          <w:bCs/>
          <w:highlight w:val="none"/>
        </w:rPr>
        <w:t>carbon measurement management system</w:t>
      </w:r>
    </w:p>
    <w:p w14:paraId="130A408B">
      <w:pPr>
        <w:pStyle w:val="56"/>
        <w:ind w:firstLine="420"/>
        <w:rPr>
          <w:rFonts w:hint="eastAsia"/>
          <w:highlight w:val="none"/>
        </w:rPr>
      </w:pPr>
      <w:r>
        <w:rPr>
          <w:rFonts w:hint="eastAsia"/>
          <w:highlight w:val="none"/>
        </w:rPr>
        <w:t>重点排放单位为实现碳计量管理目标，规范碳计量活动，由组织机构、职责、制度、程序、资源和技术手段等构成的有机整体。</w:t>
      </w:r>
    </w:p>
    <w:p w14:paraId="5316AB63">
      <w:pPr>
        <w:pStyle w:val="223"/>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val="en-US" w:eastAsia="zh-CN"/>
        </w:rPr>
        <w:t>温室气体</w:t>
      </w:r>
      <w:r>
        <w:rPr>
          <w:rFonts w:hint="eastAsia" w:ascii="黑体" w:hAnsi="黑体" w:eastAsia="黑体"/>
          <w:highlight w:val="none"/>
        </w:rPr>
        <w:t xml:space="preserve"> </w:t>
      </w:r>
      <w:r>
        <w:rPr>
          <w:rFonts w:hint="eastAsia" w:ascii="黑体" w:hAnsi="黑体" w:eastAsia="黑体"/>
          <w:b/>
          <w:bCs/>
          <w:highlight w:val="none"/>
        </w:rPr>
        <w:t>greenhouse</w:t>
      </w:r>
      <w:r>
        <w:rPr>
          <w:rFonts w:hint="eastAsia" w:ascii="黑体" w:hAnsi="黑体" w:eastAsia="黑体"/>
          <w:b/>
          <w:bCs/>
          <w:highlight w:val="none"/>
          <w:lang w:val="en-US" w:eastAsia="zh-CN"/>
        </w:rPr>
        <w:t xml:space="preserve"> </w:t>
      </w:r>
      <w:r>
        <w:rPr>
          <w:rFonts w:hint="eastAsia" w:ascii="黑体" w:hAnsi="黑体" w:eastAsia="黑体"/>
          <w:b/>
          <w:bCs/>
          <w:highlight w:val="none"/>
        </w:rPr>
        <w:t>gas</w:t>
      </w:r>
    </w:p>
    <w:p w14:paraId="00056DF7">
      <w:pPr>
        <w:pStyle w:val="56"/>
        <w:ind w:firstLine="420"/>
        <w:rPr>
          <w:rFonts w:hint="eastAsia"/>
          <w:highlight w:val="none"/>
        </w:rPr>
      </w:pPr>
      <w:r>
        <w:rPr>
          <w:rFonts w:hint="eastAsia"/>
          <w:highlight w:val="none"/>
        </w:rPr>
        <w:t>大气层中自然存在的和由于人类活动产生的能够吸收和散发由地球表面、大气层和云层所产生的、波长在红外光谱内的辐射的气态成分。</w:t>
      </w:r>
    </w:p>
    <w:p w14:paraId="048F727E">
      <w:pPr>
        <w:pStyle w:val="56"/>
        <w:ind w:firstLine="420"/>
        <w:rPr>
          <w:rFonts w:hint="eastAsia" w:ascii="宋体" w:hAnsi="Times New Roman" w:eastAsia="宋体" w:cs="Times New Roman"/>
          <w:highlight w:val="none"/>
        </w:rPr>
      </w:pPr>
      <w:r>
        <w:rPr>
          <w:rFonts w:hint="eastAsia" w:ascii="仿宋_GB2312" w:hAnsi="仿宋_GB2312" w:eastAsia="仿宋_GB2312" w:cs="仿宋_GB2312"/>
          <w:highlight w:val="none"/>
        </w:rPr>
        <w:t>注：如无特殊说明，本规范温室气体包括二氧化碳（CO</w:t>
      </w:r>
      <w:r>
        <w:rPr>
          <w:rFonts w:hint="eastAsia" w:ascii="仿宋_GB2312" w:hAnsi="仿宋_GB2312" w:eastAsia="仿宋_GB2312" w:cs="仿宋_GB2312"/>
          <w:highlight w:val="none"/>
          <w:vertAlign w:val="subscript"/>
        </w:rPr>
        <w:t>2</w:t>
      </w:r>
      <w:r>
        <w:rPr>
          <w:rFonts w:hint="eastAsia" w:ascii="仿宋_GB2312" w:hAnsi="仿宋_GB2312" w:eastAsia="仿宋_GB2312" w:cs="仿宋_GB2312"/>
          <w:highlight w:val="none"/>
        </w:rPr>
        <w:t>）、甲烷（CH</w:t>
      </w:r>
      <w:r>
        <w:rPr>
          <w:rFonts w:hint="eastAsia" w:ascii="仿宋_GB2312" w:hAnsi="仿宋_GB2312" w:eastAsia="仿宋_GB2312" w:cs="仿宋_GB2312"/>
          <w:highlight w:val="none"/>
          <w:vertAlign w:val="subscript"/>
        </w:rPr>
        <w:t>4</w:t>
      </w:r>
      <w:r>
        <w:rPr>
          <w:rFonts w:hint="eastAsia" w:ascii="仿宋_GB2312" w:hAnsi="仿宋_GB2312" w:eastAsia="仿宋_GB2312" w:cs="仿宋_GB2312"/>
          <w:highlight w:val="none"/>
        </w:rPr>
        <w:t>）、氧化亚氮（N</w:t>
      </w:r>
      <w:r>
        <w:rPr>
          <w:rFonts w:hint="eastAsia" w:ascii="仿宋_GB2312" w:hAnsi="仿宋_GB2312" w:eastAsia="仿宋_GB2312" w:cs="仿宋_GB2312"/>
          <w:highlight w:val="none"/>
          <w:vertAlign w:val="subscript"/>
        </w:rPr>
        <w:t>2</w:t>
      </w:r>
      <w:r>
        <w:rPr>
          <w:rFonts w:hint="eastAsia" w:ascii="仿宋_GB2312" w:hAnsi="仿宋_GB2312" w:eastAsia="仿宋_GB2312" w:cs="仿宋_GB2312"/>
          <w:highlight w:val="none"/>
        </w:rPr>
        <w:t>O）、氢氟碳化物（HFCs）、全氟碳化物（PFCs）、六氟化硫（SF</w:t>
      </w:r>
      <w:r>
        <w:rPr>
          <w:rFonts w:hint="eastAsia" w:ascii="仿宋_GB2312" w:hAnsi="仿宋_GB2312" w:eastAsia="仿宋_GB2312" w:cs="仿宋_GB2312"/>
          <w:highlight w:val="none"/>
          <w:vertAlign w:val="subscript"/>
        </w:rPr>
        <w:t>6</w:t>
      </w:r>
      <w:r>
        <w:rPr>
          <w:rFonts w:hint="eastAsia" w:ascii="仿宋_GB2312" w:hAnsi="仿宋_GB2312" w:eastAsia="仿宋_GB2312" w:cs="仿宋_GB2312"/>
          <w:highlight w:val="none"/>
        </w:rPr>
        <w:t>）与三氟化氮（NF</w:t>
      </w:r>
      <w:r>
        <w:rPr>
          <w:rFonts w:hint="eastAsia" w:ascii="仿宋_GB2312" w:hAnsi="仿宋_GB2312" w:eastAsia="仿宋_GB2312" w:cs="仿宋_GB2312"/>
          <w:highlight w:val="none"/>
          <w:vertAlign w:val="subscript"/>
        </w:rPr>
        <w:t>3</w:t>
      </w:r>
      <w:r>
        <w:rPr>
          <w:rFonts w:hint="eastAsia" w:ascii="仿宋_GB2312" w:hAnsi="仿宋_GB2312" w:eastAsia="仿宋_GB2312" w:cs="仿宋_GB2312"/>
          <w:highlight w:val="none"/>
        </w:rPr>
        <w:t>）。</w:t>
      </w:r>
    </w:p>
    <w:p w14:paraId="67DF864C">
      <w:pPr>
        <w:pStyle w:val="223"/>
        <w:numPr>
          <w:ilvl w:val="2"/>
          <w:numId w:val="0"/>
        </w:numPr>
        <w:ind w:leftChars="-200" w:firstLine="840" w:firstLineChars="400"/>
        <w:rPr>
          <w:highlight w:val="none"/>
        </w:rPr>
      </w:pPr>
      <w:r>
        <w:rPr>
          <w:rFonts w:hint="eastAsia"/>
          <w:highlight w:val="none"/>
        </w:rPr>
        <w:t>[来源：</w:t>
      </w:r>
      <w:r>
        <w:rPr>
          <w:rFonts w:hint="eastAsia"/>
          <w:highlight w:val="none"/>
          <w:lang w:val="en-US" w:eastAsia="zh-CN"/>
        </w:rPr>
        <w:t>GB/T</w:t>
      </w:r>
      <w:r>
        <w:rPr>
          <w:rFonts w:hint="eastAsia"/>
          <w:highlight w:val="none"/>
        </w:rPr>
        <w:t xml:space="preserve"> </w:t>
      </w:r>
      <w:r>
        <w:rPr>
          <w:rFonts w:hint="eastAsia"/>
          <w:highlight w:val="none"/>
          <w:lang w:val="en-US" w:eastAsia="zh-CN"/>
        </w:rPr>
        <w:t>32150-2015</w:t>
      </w:r>
      <w:r>
        <w:rPr>
          <w:rFonts w:hint="eastAsia"/>
          <w:highlight w:val="none"/>
        </w:rPr>
        <w:t>，3.</w:t>
      </w:r>
      <w:r>
        <w:rPr>
          <w:rFonts w:hint="eastAsia"/>
          <w:highlight w:val="none"/>
          <w:lang w:val="en-US" w:eastAsia="zh-CN"/>
        </w:rPr>
        <w:t>2</w:t>
      </w:r>
      <w:r>
        <w:rPr>
          <w:rFonts w:hint="eastAsia"/>
          <w:highlight w:val="none"/>
        </w:rPr>
        <w:t>]</w:t>
      </w:r>
    </w:p>
    <w:p w14:paraId="39EA5DB8">
      <w:pPr>
        <w:pStyle w:val="223"/>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eastAsia="zh-CN"/>
        </w:rPr>
        <w:t>碳计量器具</w:t>
      </w:r>
      <w:r>
        <w:rPr>
          <w:rFonts w:hint="eastAsia" w:ascii="黑体" w:hAnsi="黑体" w:eastAsia="黑体"/>
          <w:highlight w:val="none"/>
        </w:rPr>
        <w:t xml:space="preserve"> </w:t>
      </w:r>
      <w:r>
        <w:rPr>
          <w:rFonts w:hint="eastAsia" w:ascii="黑体" w:hAnsi="黑体" w:eastAsia="黑体"/>
          <w:b/>
          <w:bCs/>
          <w:highlight w:val="none"/>
        </w:rPr>
        <w:t>carbon</w:t>
      </w:r>
      <w:r>
        <w:rPr>
          <w:rFonts w:hint="eastAsia" w:ascii="黑体" w:hAnsi="黑体" w:eastAsia="黑体"/>
          <w:b/>
          <w:bCs/>
          <w:highlight w:val="none"/>
          <w:lang w:val="en-US" w:eastAsia="zh-CN"/>
        </w:rPr>
        <w:t xml:space="preserve"> </w:t>
      </w:r>
      <w:r>
        <w:rPr>
          <w:rFonts w:hint="eastAsia" w:ascii="黑体" w:hAnsi="黑体" w:eastAsia="黑体"/>
          <w:b/>
          <w:bCs/>
          <w:highlight w:val="none"/>
        </w:rPr>
        <w:t>measuring instrumen</w:t>
      </w:r>
      <w:r>
        <w:rPr>
          <w:rFonts w:hint="eastAsia" w:ascii="黑体" w:hAnsi="黑体" w:eastAsia="黑体"/>
          <w:b/>
          <w:bCs/>
          <w:highlight w:val="none"/>
          <w:lang w:val="en-US" w:eastAsia="zh-CN"/>
        </w:rPr>
        <w:t>t</w:t>
      </w:r>
    </w:p>
    <w:p w14:paraId="229B17FD">
      <w:pPr>
        <w:pStyle w:val="223"/>
        <w:numPr>
          <w:ilvl w:val="2"/>
          <w:numId w:val="0"/>
        </w:numPr>
        <w:ind w:leftChars="-200" w:firstLine="840" w:firstLineChars="400"/>
        <w:rPr>
          <w:rFonts w:hint="eastAsia"/>
          <w:highlight w:val="none"/>
        </w:rPr>
      </w:pPr>
      <w:r>
        <w:rPr>
          <w:rFonts w:hint="eastAsia"/>
          <w:highlight w:val="none"/>
        </w:rPr>
        <w:t>测量对象为温室气体排放相关量值的计量器具（系统）。</w:t>
      </w:r>
    </w:p>
    <w:p w14:paraId="6E04D3D0">
      <w:pPr>
        <w:pStyle w:val="223"/>
        <w:numPr>
          <w:ilvl w:val="2"/>
          <w:numId w:val="0"/>
        </w:numPr>
        <w:ind w:leftChars="-200" w:firstLine="840" w:firstLineChars="400"/>
        <w:rPr>
          <w:highlight w:val="none"/>
        </w:rPr>
      </w:pPr>
      <w:r>
        <w:rPr>
          <w:rFonts w:hint="eastAsia"/>
          <w:highlight w:val="none"/>
        </w:rPr>
        <w:t>[来源：JJF 2309，3.</w:t>
      </w:r>
      <w:r>
        <w:rPr>
          <w:rFonts w:hint="eastAsia"/>
          <w:highlight w:val="none"/>
          <w:lang w:val="en-US" w:eastAsia="zh-CN"/>
        </w:rPr>
        <w:t>16</w:t>
      </w:r>
      <w:r>
        <w:rPr>
          <w:rFonts w:hint="eastAsia"/>
          <w:highlight w:val="none"/>
        </w:rPr>
        <w:t>]</w:t>
      </w:r>
    </w:p>
    <w:p w14:paraId="3E70F3A9">
      <w:pPr>
        <w:pStyle w:val="223"/>
        <w:ind w:left="420" w:hanging="420" w:hangingChars="200"/>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lang w:eastAsia="zh-CN"/>
        </w:rPr>
        <w:t>碳计量</w:t>
      </w:r>
      <w:r>
        <w:rPr>
          <w:rFonts w:hint="eastAsia" w:ascii="黑体" w:hAnsi="黑体" w:eastAsia="黑体"/>
          <w:highlight w:val="none"/>
          <w:lang w:val="en-US" w:eastAsia="zh-CN"/>
        </w:rPr>
        <w:t>目标</w:t>
      </w:r>
      <w:r>
        <w:rPr>
          <w:rFonts w:hint="eastAsia" w:ascii="黑体" w:hAnsi="黑体" w:eastAsia="黑体"/>
          <w:highlight w:val="none"/>
        </w:rPr>
        <w:t xml:space="preserve"> </w:t>
      </w:r>
      <w:r>
        <w:rPr>
          <w:rFonts w:hint="eastAsia" w:ascii="黑体" w:hAnsi="黑体" w:eastAsia="黑体"/>
          <w:b/>
          <w:bCs/>
          <w:highlight w:val="none"/>
        </w:rPr>
        <w:t>carbon</w:t>
      </w:r>
      <w:r>
        <w:rPr>
          <w:rFonts w:hint="eastAsia" w:ascii="黑体" w:hAnsi="黑体" w:eastAsia="黑体"/>
          <w:b/>
          <w:bCs/>
          <w:highlight w:val="none"/>
          <w:lang w:val="en-US" w:eastAsia="zh-CN"/>
        </w:rPr>
        <w:t xml:space="preserve"> </w:t>
      </w:r>
      <w:r>
        <w:rPr>
          <w:rFonts w:hint="eastAsia" w:ascii="黑体" w:hAnsi="黑体" w:eastAsia="黑体"/>
          <w:b/>
          <w:bCs/>
          <w:highlight w:val="none"/>
        </w:rPr>
        <w:t>metrological objectiv</w:t>
      </w:r>
      <w:r>
        <w:rPr>
          <w:rFonts w:hint="eastAsia" w:ascii="黑体" w:hAnsi="黑体" w:eastAsia="黑体"/>
          <w:b/>
          <w:bCs/>
          <w:highlight w:val="none"/>
          <w:lang w:val="en-US" w:eastAsia="zh-CN"/>
        </w:rPr>
        <w:t>e</w:t>
      </w:r>
    </w:p>
    <w:p w14:paraId="0E057F55">
      <w:pPr>
        <w:pStyle w:val="223"/>
        <w:numPr>
          <w:ilvl w:val="2"/>
          <w:numId w:val="0"/>
        </w:numPr>
        <w:ind w:leftChars="-200" w:firstLine="840" w:firstLineChars="400"/>
        <w:rPr>
          <w:rFonts w:hint="eastAsia"/>
          <w:highlight w:val="none"/>
        </w:rPr>
      </w:pPr>
      <w:r>
        <w:rPr>
          <w:rFonts w:hint="eastAsia"/>
          <w:highlight w:val="none"/>
        </w:rPr>
        <w:t>重点排放单位所要求实现的为保证碳计量数据准确可靠的总体要求。</w:t>
      </w:r>
    </w:p>
    <w:p w14:paraId="553EFC30">
      <w:pPr>
        <w:pStyle w:val="223"/>
        <w:numPr>
          <w:ilvl w:val="2"/>
          <w:numId w:val="0"/>
        </w:numPr>
        <w:ind w:leftChars="-200" w:firstLine="840" w:firstLineChars="400"/>
        <w:rPr>
          <w:rFonts w:hint="eastAsia"/>
          <w:highlight w:val="none"/>
        </w:rPr>
      </w:pPr>
      <w:r>
        <w:rPr>
          <w:rFonts w:hint="eastAsia"/>
          <w:highlight w:val="none"/>
        </w:rPr>
        <w:t>[来源：JJF 2309，3.</w:t>
      </w:r>
      <w:r>
        <w:rPr>
          <w:rFonts w:hint="eastAsia"/>
          <w:highlight w:val="none"/>
          <w:lang w:val="en-US" w:eastAsia="zh-CN"/>
        </w:rPr>
        <w:t>17</w:t>
      </w:r>
      <w:r>
        <w:rPr>
          <w:rFonts w:hint="eastAsia"/>
          <w:highlight w:val="none"/>
        </w:rPr>
        <w:t>]</w:t>
      </w:r>
    </w:p>
    <w:p w14:paraId="01A19DE0">
      <w:pPr>
        <w:pStyle w:val="104"/>
        <w:spacing w:before="240" w:after="240"/>
        <w:rPr>
          <w:rFonts w:hint="eastAsia"/>
          <w:lang w:val="en-US" w:eastAsia="zh-CN"/>
        </w:rPr>
      </w:pPr>
      <w:bookmarkStart w:id="49" w:name="_Toc9643"/>
      <w:r>
        <w:rPr>
          <w:rFonts w:hint="eastAsia"/>
          <w:lang w:val="en-US" w:eastAsia="zh-CN"/>
        </w:rPr>
        <w:t>实施原则</w:t>
      </w:r>
      <w:bookmarkEnd w:id="49"/>
    </w:p>
    <w:p w14:paraId="3C8D568D">
      <w:pPr>
        <w:pStyle w:val="174"/>
        <w:numPr>
          <w:ilvl w:val="0"/>
          <w:numId w:val="0"/>
        </w:numPr>
        <w:ind w:left="425" w:leftChars="0"/>
        <w:rPr>
          <w:rFonts w:hint="default"/>
          <w:lang w:val="en-US" w:eastAsia="zh-CN"/>
        </w:rPr>
      </w:pPr>
      <w:r>
        <w:rPr>
          <w:rFonts w:hint="eastAsia"/>
          <w:lang w:val="en-US" w:eastAsia="zh-CN"/>
        </w:rPr>
        <w:t>组织应：</w:t>
      </w:r>
    </w:p>
    <w:p w14:paraId="05113FE9">
      <w:pPr>
        <w:pStyle w:val="174"/>
        <w:rPr>
          <w:rFonts w:hint="eastAsia"/>
        </w:rPr>
      </w:pPr>
      <w:r>
        <w:rPr>
          <w:rFonts w:hint="eastAsia"/>
        </w:rPr>
        <w:t>合规性原则：严格遵守国家及地方有关碳排放计量的法律法规、标准规范及合规义务要求，确保碳计量工作合法合规。</w:t>
      </w:r>
    </w:p>
    <w:p w14:paraId="22959788">
      <w:pPr>
        <w:pStyle w:val="174"/>
        <w:rPr>
          <w:rFonts w:hint="eastAsia"/>
        </w:rPr>
      </w:pPr>
      <w:r>
        <w:rPr>
          <w:rFonts w:hint="eastAsia"/>
        </w:rPr>
        <w:t>实用性原则：结合重点排放单位的行业特点、生产规模、排放源特性等实际情况，制定切实可行的实施方案，避免形式主义。</w:t>
      </w:r>
    </w:p>
    <w:p w14:paraId="7D8D24CB">
      <w:pPr>
        <w:pStyle w:val="174"/>
        <w:rPr>
          <w:rFonts w:hint="eastAsia"/>
        </w:rPr>
      </w:pPr>
      <w:r>
        <w:rPr>
          <w:rFonts w:hint="eastAsia"/>
        </w:rPr>
        <w:t>准确性原则：通过规范计量器具配备与管理、优化数据采集与处理流程，保障碳计量数据的真实、完整、准确和可追溯。</w:t>
      </w:r>
    </w:p>
    <w:p w14:paraId="41372874">
      <w:pPr>
        <w:pStyle w:val="174"/>
        <w:rPr>
          <w:rFonts w:hint="eastAsia"/>
        </w:rPr>
      </w:pPr>
      <w:r>
        <w:rPr>
          <w:rFonts w:hint="eastAsia"/>
        </w:rPr>
        <w:t>持续改进原则：建立健全监督评价机制，定期评估碳计量管理体系的有效性和适宜性，不断优化完善体系，提升碳计量管理水平</w:t>
      </w:r>
      <w:r>
        <w:rPr>
          <w:rFonts w:hint="eastAsia"/>
          <w:lang w:eastAsia="zh-CN"/>
        </w:rPr>
        <w:t>。</w:t>
      </w:r>
    </w:p>
    <w:p w14:paraId="2B1DF0A4">
      <w:pPr>
        <w:pStyle w:val="104"/>
        <w:spacing w:before="240" w:after="240"/>
        <w:rPr>
          <w:rFonts w:hint="eastAsia"/>
          <w:lang w:val="en-US" w:eastAsia="zh-CN"/>
        </w:rPr>
      </w:pPr>
      <w:bookmarkStart w:id="50" w:name="_Toc12874"/>
      <w:r>
        <w:rPr>
          <w:rFonts w:hint="eastAsia"/>
          <w:lang w:val="en-US" w:eastAsia="zh-CN"/>
        </w:rPr>
        <w:t>总体要求</w:t>
      </w:r>
      <w:bookmarkEnd w:id="50"/>
    </w:p>
    <w:p w14:paraId="59A8C20D">
      <w:pPr>
        <w:pStyle w:val="174"/>
        <w:numPr>
          <w:ilvl w:val="0"/>
          <w:numId w:val="0"/>
        </w:numPr>
        <w:ind w:firstLine="420" w:firstLineChars="200"/>
        <w:rPr>
          <w:rFonts w:hint="eastAsia"/>
          <w:lang w:val="en-US" w:eastAsia="zh-CN"/>
        </w:rPr>
      </w:pPr>
      <w:r>
        <w:rPr>
          <w:rFonts w:hint="eastAsia"/>
          <w:lang w:val="en-US" w:eastAsia="zh-CN"/>
        </w:rPr>
        <w:t>重点排放单位实施碳计量管理体系，应全面覆盖碳排放计量全流程，构建“组织健全、目标明确、制度完善、资源充足、过程可控、监督有效、持续改进”的管理格局，具体要求如下：</w:t>
      </w:r>
    </w:p>
    <w:p w14:paraId="156C9196">
      <w:pPr>
        <w:pStyle w:val="174"/>
        <w:numPr>
          <w:ilvl w:val="0"/>
          <w:numId w:val="32"/>
        </w:numPr>
        <w:rPr>
          <w:rFonts w:hint="eastAsia"/>
        </w:rPr>
      </w:pPr>
      <w:r>
        <w:rPr>
          <w:rFonts w:hint="eastAsia"/>
        </w:rPr>
        <w:t>建立专门的碳计量管理机构，明确层级关系与职责分工，形成权责清晰、协同高效的组织运行机制。</w:t>
      </w:r>
    </w:p>
    <w:p w14:paraId="3390DE32">
      <w:pPr>
        <w:pStyle w:val="174"/>
        <w:numPr>
          <w:ilvl w:val="0"/>
          <w:numId w:val="32"/>
        </w:numPr>
        <w:rPr>
          <w:rFonts w:hint="eastAsia"/>
        </w:rPr>
      </w:pPr>
      <w:r>
        <w:rPr>
          <w:rFonts w:hint="eastAsia"/>
        </w:rPr>
        <w:t>结合合规要求与自身减排目标，制定可测量、可实现的碳计量目标，与单位整体管理目标协同一致。</w:t>
      </w:r>
    </w:p>
    <w:p w14:paraId="7A293004">
      <w:pPr>
        <w:pStyle w:val="174"/>
        <w:numPr>
          <w:ilvl w:val="0"/>
          <w:numId w:val="32"/>
        </w:numPr>
        <w:rPr>
          <w:rFonts w:hint="eastAsia"/>
        </w:rPr>
      </w:pPr>
      <w:r>
        <w:rPr>
          <w:rFonts w:hint="eastAsia"/>
        </w:rPr>
        <w:t>健全覆盖器具管理、数据管理、人员管理等关键环节的制度体系，确保各项工作有章可循、有规可依。</w:t>
      </w:r>
    </w:p>
    <w:p w14:paraId="5DF824A9">
      <w:pPr>
        <w:pStyle w:val="174"/>
        <w:numPr>
          <w:ilvl w:val="0"/>
          <w:numId w:val="32"/>
        </w:numPr>
        <w:rPr>
          <w:rFonts w:hint="eastAsia"/>
        </w:rPr>
      </w:pPr>
      <w:r>
        <w:rPr>
          <w:rFonts w:hint="eastAsia"/>
        </w:rPr>
        <w:t>配备数量充足、资质合格的专业人员，配置符合技术要求的计量器具与设施，保障体系运行的资源支撑。</w:t>
      </w:r>
    </w:p>
    <w:p w14:paraId="579BF14A">
      <w:pPr>
        <w:pStyle w:val="174"/>
        <w:numPr>
          <w:ilvl w:val="0"/>
          <w:numId w:val="32"/>
        </w:numPr>
        <w:rPr>
          <w:rFonts w:hint="eastAsia"/>
        </w:rPr>
      </w:pPr>
      <w:r>
        <w:rPr>
          <w:rFonts w:hint="eastAsia"/>
        </w:rPr>
        <w:t>规范计量策划、数据采集、处理、应用及器具全生命周期管理等过程，强化过程控制与风险防范，确保数据质量。</w:t>
      </w:r>
    </w:p>
    <w:p w14:paraId="751EBFD7">
      <w:pPr>
        <w:pStyle w:val="174"/>
        <w:numPr>
          <w:ilvl w:val="0"/>
          <w:numId w:val="32"/>
        </w:numPr>
        <w:rPr>
          <w:rFonts w:hint="eastAsia"/>
        </w:rPr>
      </w:pPr>
      <w:r>
        <w:rPr>
          <w:rFonts w:hint="eastAsia"/>
        </w:rPr>
        <w:t>建立日常监督、内部审核、管理评审相结合的监督机制，及时发现问题并整改。</w:t>
      </w:r>
    </w:p>
    <w:p w14:paraId="52F37F58">
      <w:pPr>
        <w:pStyle w:val="174"/>
        <w:numPr>
          <w:ilvl w:val="0"/>
          <w:numId w:val="32"/>
        </w:numPr>
        <w:rPr>
          <w:rFonts w:hint="eastAsia"/>
        </w:rPr>
      </w:pPr>
      <w:r>
        <w:rPr>
          <w:rFonts w:hint="eastAsia"/>
        </w:rPr>
        <w:t>秉持绿色低碳发展理念，持续优化管理体系，提升碳计量管理能力与绩效水平，支撑企业低碳转型。</w:t>
      </w:r>
    </w:p>
    <w:p w14:paraId="3F4C0892">
      <w:pPr>
        <w:pStyle w:val="104"/>
        <w:spacing w:before="240" w:after="240"/>
        <w:rPr>
          <w:rFonts w:hint="eastAsia"/>
          <w:lang w:val="en-US" w:eastAsia="zh-CN"/>
        </w:rPr>
      </w:pPr>
      <w:bookmarkStart w:id="51" w:name="_Toc27259"/>
      <w:r>
        <w:rPr>
          <w:rFonts w:hint="eastAsia"/>
          <w:lang w:val="en-US" w:eastAsia="zh-CN"/>
        </w:rPr>
        <w:t>组织架构与职责</w:t>
      </w:r>
      <w:bookmarkEnd w:id="51"/>
    </w:p>
    <w:p w14:paraId="0AED3D1C">
      <w:pPr>
        <w:pStyle w:val="105"/>
        <w:spacing w:before="120" w:after="120"/>
        <w:rPr>
          <w:rFonts w:hint="eastAsia"/>
          <w:lang w:val="en-US" w:eastAsia="zh-CN"/>
        </w:rPr>
      </w:pPr>
      <w:r>
        <w:rPr>
          <w:rFonts w:hint="eastAsia"/>
          <w:lang w:val="en-US" w:eastAsia="zh-CN"/>
        </w:rPr>
        <w:t>组织架构设置</w:t>
      </w:r>
    </w:p>
    <w:p w14:paraId="3979D1CC">
      <w:pPr>
        <w:pStyle w:val="56"/>
        <w:ind w:firstLine="420"/>
        <w:rPr>
          <w:rFonts w:hint="eastAsia"/>
        </w:rPr>
      </w:pPr>
      <w:r>
        <w:rPr>
          <w:rFonts w:hint="eastAsia"/>
        </w:rPr>
        <w:t>重点排放单位应成立专门的碳计量管理机构，明确其在单位组织架构中的层级和隶属关系。该机构应至少包含碳计量工作负责人、碳计量主管部门及相关岗位，形成“负责人统筹、主管部门协调、岗位具体执行”的三级管理架构。</w:t>
      </w:r>
    </w:p>
    <w:p w14:paraId="39B3435F">
      <w:pPr>
        <w:pStyle w:val="105"/>
        <w:spacing w:before="120" w:after="120"/>
        <w:rPr>
          <w:rFonts w:hint="eastAsia"/>
          <w:lang w:val="en-US" w:eastAsia="zh-CN"/>
        </w:rPr>
      </w:pPr>
      <w:r>
        <w:rPr>
          <w:rFonts w:hint="eastAsia"/>
          <w:lang w:val="en-US" w:eastAsia="zh-CN"/>
        </w:rPr>
        <w:t>各级职责分工</w:t>
      </w:r>
    </w:p>
    <w:p w14:paraId="4D4D8A87">
      <w:pPr>
        <w:pStyle w:val="65"/>
        <w:spacing w:before="120" w:after="120"/>
        <w:rPr>
          <w:rFonts w:hint="eastAsia"/>
          <w:lang w:val="en-US" w:eastAsia="zh-CN"/>
        </w:rPr>
      </w:pPr>
      <w:r>
        <w:rPr>
          <w:rFonts w:hint="eastAsia"/>
          <w:lang w:val="en-US" w:eastAsia="zh-CN"/>
        </w:rPr>
        <w:t>碳计量工作负责人</w:t>
      </w:r>
    </w:p>
    <w:p w14:paraId="135008FB">
      <w:pPr>
        <w:pStyle w:val="174"/>
        <w:numPr>
          <w:ilvl w:val="0"/>
          <w:numId w:val="33"/>
        </w:numPr>
        <w:rPr>
          <w:rFonts w:hint="eastAsia"/>
        </w:rPr>
      </w:pPr>
      <w:r>
        <w:rPr>
          <w:rFonts w:hint="eastAsia"/>
        </w:rPr>
        <w:t>全面负责本单位碳计量管理工作，对碳计量数据质量和体系有效运行负总责；</w:t>
      </w:r>
    </w:p>
    <w:p w14:paraId="7783F5DD">
      <w:pPr>
        <w:pStyle w:val="174"/>
        <w:numPr>
          <w:ilvl w:val="0"/>
          <w:numId w:val="33"/>
        </w:numPr>
        <w:rPr>
          <w:rFonts w:hint="eastAsia"/>
        </w:rPr>
      </w:pPr>
      <w:r>
        <w:rPr>
          <w:rFonts w:hint="eastAsia"/>
        </w:rPr>
        <w:t>组织制定碳计量目标和管理体系实施方案，并推动其落地执行；</w:t>
      </w:r>
    </w:p>
    <w:p w14:paraId="3D394467">
      <w:pPr>
        <w:pStyle w:val="174"/>
        <w:numPr>
          <w:ilvl w:val="0"/>
          <w:numId w:val="33"/>
        </w:numPr>
        <w:rPr>
          <w:rFonts w:hint="eastAsia"/>
        </w:rPr>
      </w:pPr>
      <w:r>
        <w:rPr>
          <w:rFonts w:hint="eastAsia"/>
        </w:rPr>
        <w:t>协调碳计量工作与生产经营、环境保护、能源管理等其他工作的融合衔接；</w:t>
      </w:r>
    </w:p>
    <w:p w14:paraId="45933439">
      <w:pPr>
        <w:pStyle w:val="174"/>
        <w:numPr>
          <w:ilvl w:val="0"/>
          <w:numId w:val="33"/>
        </w:numPr>
        <w:rPr>
          <w:rFonts w:hint="eastAsia"/>
        </w:rPr>
      </w:pPr>
      <w:r>
        <w:rPr>
          <w:rFonts w:hint="eastAsia"/>
        </w:rPr>
        <w:t>组织开展碳计量管理体系内部审核和管理评审，审批重大纠正和改进措施。</w:t>
      </w:r>
    </w:p>
    <w:p w14:paraId="145E6F50">
      <w:pPr>
        <w:pStyle w:val="65"/>
        <w:spacing w:before="120" w:after="120"/>
        <w:rPr>
          <w:rFonts w:hint="eastAsia"/>
          <w:lang w:val="en-US" w:eastAsia="zh-CN"/>
        </w:rPr>
      </w:pPr>
      <w:r>
        <w:rPr>
          <w:rFonts w:hint="eastAsia"/>
          <w:lang w:val="en-US" w:eastAsia="zh-CN"/>
        </w:rPr>
        <w:t>碳计量主管部门</w:t>
      </w:r>
    </w:p>
    <w:p w14:paraId="125CD6A6">
      <w:pPr>
        <w:pStyle w:val="174"/>
        <w:numPr>
          <w:ilvl w:val="0"/>
          <w:numId w:val="34"/>
        </w:numPr>
        <w:rPr>
          <w:rFonts w:hint="eastAsia"/>
        </w:rPr>
      </w:pPr>
      <w:r>
        <w:rPr>
          <w:rFonts w:hint="eastAsia"/>
        </w:rPr>
        <w:t>分解碳计量目标至各相关部门和岗位，制定具体实施计划并监督落实；</w:t>
      </w:r>
    </w:p>
    <w:p w14:paraId="285EA721">
      <w:pPr>
        <w:pStyle w:val="174"/>
        <w:numPr>
          <w:ilvl w:val="0"/>
          <w:numId w:val="34"/>
        </w:numPr>
        <w:rPr>
          <w:rFonts w:hint="eastAsia"/>
        </w:rPr>
      </w:pPr>
      <w:r>
        <w:rPr>
          <w:rFonts w:hint="eastAsia"/>
        </w:rPr>
        <w:t>牵头建立健全碳计量管理制度和操作文件，确保体系文件的适用性和有效性；</w:t>
      </w:r>
    </w:p>
    <w:p w14:paraId="5C0A3226">
      <w:pPr>
        <w:pStyle w:val="174"/>
        <w:numPr>
          <w:ilvl w:val="0"/>
          <w:numId w:val="34"/>
        </w:numPr>
        <w:rPr>
          <w:rFonts w:hint="eastAsia"/>
        </w:rPr>
      </w:pPr>
      <w:r>
        <w:rPr>
          <w:rFonts w:hint="eastAsia"/>
        </w:rPr>
        <w:t>负责碳计量实施过程的日常管理，包括排放源识别、计量器具管理、数据采集与审核等；</w:t>
      </w:r>
    </w:p>
    <w:p w14:paraId="39B5D193">
      <w:pPr>
        <w:pStyle w:val="174"/>
        <w:numPr>
          <w:ilvl w:val="0"/>
          <w:numId w:val="34"/>
        </w:numPr>
        <w:rPr>
          <w:rFonts w:hint="eastAsia"/>
        </w:rPr>
      </w:pPr>
      <w:r>
        <w:rPr>
          <w:rFonts w:hint="eastAsia"/>
        </w:rPr>
        <w:t>组织开展碳计量人员培训、考核及绩效评价，提出持续改进建议。</w:t>
      </w:r>
    </w:p>
    <w:p w14:paraId="10EB58A1">
      <w:pPr>
        <w:pStyle w:val="65"/>
        <w:spacing w:before="120" w:after="120"/>
        <w:rPr>
          <w:rFonts w:hint="eastAsia"/>
          <w:lang w:val="en-US" w:eastAsia="zh-CN"/>
        </w:rPr>
      </w:pPr>
      <w:r>
        <w:rPr>
          <w:rFonts w:hint="eastAsia"/>
          <w:lang w:val="en-US" w:eastAsia="zh-CN"/>
        </w:rPr>
        <w:t>相关岗位</w:t>
      </w:r>
    </w:p>
    <w:p w14:paraId="62E9FBBE">
      <w:pPr>
        <w:pStyle w:val="174"/>
        <w:numPr>
          <w:ilvl w:val="0"/>
          <w:numId w:val="35"/>
        </w:numPr>
        <w:rPr>
          <w:rFonts w:hint="eastAsia"/>
        </w:rPr>
      </w:pPr>
      <w:r>
        <w:rPr>
          <w:rFonts w:hint="eastAsia"/>
        </w:rPr>
        <w:t>碳计量管理岗位：负责体系文件管理、信息交流、记录归档等工作；</w:t>
      </w:r>
    </w:p>
    <w:p w14:paraId="7A43B921">
      <w:pPr>
        <w:pStyle w:val="174"/>
        <w:numPr>
          <w:ilvl w:val="0"/>
          <w:numId w:val="35"/>
        </w:numPr>
        <w:rPr>
          <w:rFonts w:hint="eastAsia"/>
        </w:rPr>
      </w:pPr>
      <w:r>
        <w:rPr>
          <w:rFonts w:hint="eastAsia"/>
        </w:rPr>
        <w:t>计量器具管理岗位：承担碳计量器具的申购、验收、安装、维护、检定/校准、报废等全生命周期管理工作；</w:t>
      </w:r>
    </w:p>
    <w:p w14:paraId="671E097F">
      <w:pPr>
        <w:pStyle w:val="174"/>
        <w:numPr>
          <w:ilvl w:val="0"/>
          <w:numId w:val="35"/>
        </w:numPr>
        <w:rPr>
          <w:rFonts w:hint="eastAsia"/>
        </w:rPr>
      </w:pPr>
      <w:r>
        <w:rPr>
          <w:rFonts w:hint="eastAsia"/>
        </w:rPr>
        <w:t>数据管理岗位：负责碳计量数据的采集、录入、处理、统计、分析、报告及应用等工作；</w:t>
      </w:r>
    </w:p>
    <w:p w14:paraId="55F21D81">
      <w:pPr>
        <w:pStyle w:val="174"/>
        <w:numPr>
          <w:ilvl w:val="0"/>
          <w:numId w:val="35"/>
        </w:numPr>
        <w:rPr>
          <w:rFonts w:hint="eastAsia"/>
        </w:rPr>
      </w:pPr>
      <w:r>
        <w:rPr>
          <w:rFonts w:hint="eastAsia"/>
        </w:rPr>
        <w:t>生产一线相关岗位：配合完成现场碳计量数据采集、计量器具日常巡检等工作。</w:t>
      </w:r>
    </w:p>
    <w:p w14:paraId="74A243DC">
      <w:pPr>
        <w:pStyle w:val="104"/>
        <w:spacing w:before="240" w:after="240"/>
        <w:rPr>
          <w:rFonts w:hint="eastAsia"/>
          <w:lang w:val="en-US" w:eastAsia="zh-CN"/>
        </w:rPr>
      </w:pPr>
      <w:bookmarkStart w:id="52" w:name="_Toc8490"/>
      <w:r>
        <w:rPr>
          <w:rFonts w:hint="eastAsia"/>
          <w:lang w:val="en-US" w:eastAsia="zh-CN"/>
        </w:rPr>
        <w:t>目标设定</w:t>
      </w:r>
      <w:bookmarkEnd w:id="52"/>
    </w:p>
    <w:p w14:paraId="561F1446">
      <w:pPr>
        <w:pStyle w:val="105"/>
        <w:spacing w:before="120" w:after="120"/>
        <w:rPr>
          <w:rFonts w:hint="eastAsia"/>
          <w:lang w:val="en-US" w:eastAsia="zh-CN"/>
        </w:rPr>
      </w:pPr>
      <w:r>
        <w:rPr>
          <w:rFonts w:hint="eastAsia"/>
          <w:lang w:val="en-US" w:eastAsia="zh-CN"/>
        </w:rPr>
        <w:t>目标制定要求</w:t>
      </w:r>
    </w:p>
    <w:p w14:paraId="7B013B72">
      <w:pPr>
        <w:pStyle w:val="174"/>
        <w:numPr>
          <w:ilvl w:val="0"/>
          <w:numId w:val="0"/>
        </w:numPr>
        <w:ind w:firstLine="420" w:firstLineChars="200"/>
        <w:rPr>
          <w:rFonts w:hint="eastAsia"/>
          <w:lang w:val="en-US" w:eastAsia="zh-CN"/>
        </w:rPr>
      </w:pPr>
      <w:r>
        <w:rPr>
          <w:rFonts w:hint="eastAsia"/>
          <w:lang w:val="en-US" w:eastAsia="zh-CN"/>
        </w:rPr>
        <w:t>重点排放单位应依据相关法律法规、标准规范、合规义务及本单位的减排目标、生产经营计划，制定明确、具体、可测量、可实现、有时间限制的碳计量目标。目标应与单位的碳管理方针、环境目标、质量目标等整体目标相协同，且至少覆盖以下内容：</w:t>
      </w:r>
    </w:p>
    <w:p w14:paraId="1E83A04F">
      <w:pPr>
        <w:pStyle w:val="174"/>
        <w:numPr>
          <w:ilvl w:val="0"/>
          <w:numId w:val="36"/>
        </w:numPr>
        <w:rPr>
          <w:rFonts w:hint="eastAsia"/>
        </w:rPr>
      </w:pPr>
      <w:r>
        <w:rPr>
          <w:rFonts w:hint="eastAsia"/>
        </w:rPr>
        <w:t>满足碳排放计量相关法律法规、标准规范及技术要求；</w:t>
      </w:r>
    </w:p>
    <w:p w14:paraId="7B97F14C">
      <w:pPr>
        <w:pStyle w:val="174"/>
        <w:numPr>
          <w:ilvl w:val="0"/>
          <w:numId w:val="36"/>
        </w:numPr>
        <w:rPr>
          <w:rFonts w:hint="eastAsia"/>
        </w:rPr>
      </w:pPr>
      <w:r>
        <w:rPr>
          <w:rFonts w:hint="eastAsia"/>
        </w:rPr>
        <w:t>实现排放源全覆盖、分类别计量，确保计量边界清晰；</w:t>
      </w:r>
    </w:p>
    <w:p w14:paraId="71CA6DB3">
      <w:pPr>
        <w:pStyle w:val="174"/>
        <w:numPr>
          <w:ilvl w:val="0"/>
          <w:numId w:val="36"/>
        </w:numPr>
        <w:rPr>
          <w:rFonts w:hint="eastAsia"/>
        </w:rPr>
      </w:pPr>
      <w:r>
        <w:rPr>
          <w:rFonts w:hint="eastAsia"/>
        </w:rPr>
        <w:t>保障碳计量人员数量充足、资质达标、能力满足岗位需求；</w:t>
      </w:r>
    </w:p>
    <w:p w14:paraId="0331BDEC">
      <w:pPr>
        <w:pStyle w:val="174"/>
        <w:numPr>
          <w:ilvl w:val="0"/>
          <w:numId w:val="36"/>
        </w:numPr>
        <w:rPr>
          <w:rFonts w:hint="eastAsia"/>
        </w:rPr>
      </w:pPr>
      <w:r>
        <w:rPr>
          <w:rFonts w:hint="eastAsia"/>
        </w:rPr>
        <w:t>确保碳计量器具配备齐全、性能合格、管理规范；</w:t>
      </w:r>
    </w:p>
    <w:p w14:paraId="329A325C">
      <w:pPr>
        <w:pStyle w:val="174"/>
        <w:numPr>
          <w:ilvl w:val="0"/>
          <w:numId w:val="36"/>
        </w:numPr>
        <w:rPr>
          <w:rFonts w:hint="eastAsia"/>
        </w:rPr>
      </w:pPr>
      <w:r>
        <w:rPr>
          <w:rFonts w:hint="eastAsia"/>
        </w:rPr>
        <w:t>满足温室气体排放核算与报告对计量数据的获取要求；</w:t>
      </w:r>
    </w:p>
    <w:p w14:paraId="24C34027">
      <w:pPr>
        <w:pStyle w:val="174"/>
        <w:numPr>
          <w:ilvl w:val="0"/>
          <w:numId w:val="36"/>
        </w:numPr>
        <w:rPr>
          <w:rFonts w:hint="eastAsia"/>
        </w:rPr>
      </w:pPr>
      <w:r>
        <w:rPr>
          <w:rFonts w:hint="eastAsia"/>
        </w:rPr>
        <w:t>支撑单位内部碳管理决策、考核评价及低碳技术改造等工作。</w:t>
      </w:r>
    </w:p>
    <w:p w14:paraId="1B91A300">
      <w:pPr>
        <w:pStyle w:val="105"/>
        <w:spacing w:before="120" w:after="120"/>
        <w:rPr>
          <w:rFonts w:hint="eastAsia"/>
          <w:lang w:val="en-US" w:eastAsia="zh-CN"/>
        </w:rPr>
      </w:pPr>
      <w:r>
        <w:rPr>
          <w:rFonts w:hint="eastAsia"/>
          <w:lang w:val="en-US" w:eastAsia="zh-CN"/>
        </w:rPr>
        <w:t>目标分解与落实</w:t>
      </w:r>
    </w:p>
    <w:p w14:paraId="1123F0A5">
      <w:pPr>
        <w:pStyle w:val="56"/>
        <w:ind w:firstLine="420"/>
        <w:rPr>
          <w:rFonts w:hint="eastAsia"/>
        </w:rPr>
      </w:pPr>
      <w:r>
        <w:rPr>
          <w:rFonts w:hint="eastAsia"/>
        </w:rPr>
        <w:t>碳计量主管部门应将总体碳计量目标分解至各相关部门和岗位，明确各层级目标的责任主体、完成时限和考核指标。通过签订目标责任书等形式，确保目标层层传递、落实到位。同时，应制定配套的保障措施，包括技术支持、资源保障、激励约束等，为目标实现提供有力支撑。</w:t>
      </w:r>
    </w:p>
    <w:p w14:paraId="533FBF44">
      <w:pPr>
        <w:pStyle w:val="105"/>
        <w:spacing w:before="120" w:after="120"/>
        <w:rPr>
          <w:rFonts w:hint="eastAsia"/>
          <w:lang w:val="en-US" w:eastAsia="zh-CN"/>
        </w:rPr>
      </w:pPr>
      <w:r>
        <w:rPr>
          <w:rFonts w:hint="eastAsia"/>
          <w:lang w:val="en-US" w:eastAsia="zh-CN"/>
        </w:rPr>
        <w:t>目标监控与评价</w:t>
      </w:r>
    </w:p>
    <w:p w14:paraId="2BF1FABF">
      <w:pPr>
        <w:pStyle w:val="56"/>
        <w:ind w:firstLine="420"/>
        <w:rPr>
          <w:rFonts w:hint="eastAsia"/>
        </w:rPr>
      </w:pPr>
      <w:r>
        <w:rPr>
          <w:rFonts w:hint="eastAsia"/>
        </w:rPr>
        <w:t>重点排放单位应建立碳计量目标监控机制，定期（至少每季度）跟踪目标完成情况。每年度对目标实现程度进行全面评价，分析未完成目标的原因，及时采取纠正措施。根据评价结果和内外部环境变化，对下一年度碳计量目标进行调整和优化。</w:t>
      </w:r>
    </w:p>
    <w:p w14:paraId="206C2891">
      <w:pPr>
        <w:pStyle w:val="104"/>
        <w:spacing w:before="240" w:after="240"/>
        <w:rPr>
          <w:rFonts w:hint="eastAsia"/>
          <w:lang w:val="en-US" w:eastAsia="zh-CN"/>
        </w:rPr>
      </w:pPr>
      <w:bookmarkStart w:id="53" w:name="_Toc13065"/>
      <w:r>
        <w:rPr>
          <w:rFonts w:hint="eastAsia"/>
          <w:lang w:val="en-US" w:eastAsia="zh-CN"/>
        </w:rPr>
        <w:t>制度建设</w:t>
      </w:r>
      <w:bookmarkEnd w:id="53"/>
    </w:p>
    <w:p w14:paraId="3E0BD9C9">
      <w:pPr>
        <w:pStyle w:val="105"/>
        <w:spacing w:before="120" w:after="120"/>
        <w:rPr>
          <w:rFonts w:hint="eastAsia"/>
          <w:lang w:val="en-US" w:eastAsia="zh-CN"/>
        </w:rPr>
      </w:pPr>
      <w:r>
        <w:rPr>
          <w:rFonts w:hint="eastAsia"/>
          <w:lang w:val="en-US" w:eastAsia="zh-CN"/>
        </w:rPr>
        <w:t>制度体系构成</w:t>
      </w:r>
    </w:p>
    <w:p w14:paraId="0C03D715">
      <w:pPr>
        <w:pStyle w:val="174"/>
        <w:numPr>
          <w:ilvl w:val="0"/>
          <w:numId w:val="0"/>
        </w:numPr>
        <w:ind w:firstLine="420" w:firstLineChars="200"/>
        <w:rPr>
          <w:rFonts w:hint="eastAsia"/>
          <w:lang w:val="en-US" w:eastAsia="zh-CN"/>
        </w:rPr>
      </w:pPr>
      <w:r>
        <w:rPr>
          <w:rFonts w:hint="eastAsia"/>
          <w:lang w:val="en-US" w:eastAsia="zh-CN"/>
        </w:rPr>
        <w:t>重点排放单位应建立健全碳计量管理制度体系，形成“总制度+分制度+操作文件”的三级文件架构，确保各项工作有章可循。制度体系应至少包含以下内容：</w:t>
      </w:r>
    </w:p>
    <w:p w14:paraId="5D0B8F5F">
      <w:pPr>
        <w:pStyle w:val="174"/>
        <w:numPr>
          <w:ilvl w:val="0"/>
          <w:numId w:val="37"/>
        </w:numPr>
        <w:rPr>
          <w:rFonts w:hint="eastAsia"/>
        </w:rPr>
      </w:pPr>
      <w:r>
        <w:rPr>
          <w:rFonts w:hint="eastAsia"/>
        </w:rPr>
        <w:t>碳计量管理总则：明确体系建设的目的、范围、原则、组织架构及职责分工；</w:t>
      </w:r>
    </w:p>
    <w:p w14:paraId="506419B0">
      <w:pPr>
        <w:pStyle w:val="174"/>
        <w:numPr>
          <w:ilvl w:val="0"/>
          <w:numId w:val="37"/>
        </w:numPr>
        <w:rPr>
          <w:rFonts w:hint="eastAsia"/>
        </w:rPr>
      </w:pPr>
      <w:r>
        <w:rPr>
          <w:rFonts w:hint="eastAsia"/>
        </w:rPr>
        <w:t>计量器具管理制度：规范计量器具的配备、选型、验收、安装、使用、维护、检定/校准、报废、台帐与档案管理等要求；</w:t>
      </w:r>
    </w:p>
    <w:p w14:paraId="0BDE4B60">
      <w:pPr>
        <w:pStyle w:val="174"/>
        <w:numPr>
          <w:ilvl w:val="0"/>
          <w:numId w:val="37"/>
        </w:numPr>
        <w:rPr>
          <w:rFonts w:hint="eastAsia"/>
        </w:rPr>
      </w:pPr>
      <w:r>
        <w:rPr>
          <w:rFonts w:hint="eastAsia"/>
        </w:rPr>
        <w:t>数据管理制度：规定碳计量数据的采集、录入、审核、处理、统计、分析、报告、应用、存储、保密等流程和要求；</w:t>
      </w:r>
    </w:p>
    <w:p w14:paraId="5DA6E496">
      <w:pPr>
        <w:pStyle w:val="174"/>
        <w:numPr>
          <w:ilvl w:val="0"/>
          <w:numId w:val="37"/>
        </w:numPr>
        <w:rPr>
          <w:rFonts w:hint="eastAsia"/>
        </w:rPr>
      </w:pPr>
      <w:r>
        <w:rPr>
          <w:rFonts w:hint="eastAsia"/>
        </w:rPr>
        <w:t>人员管理制度：明确碳计量人员的配备标准、招聘、培训、考核、资质管理、岗位职责等内容；</w:t>
      </w:r>
    </w:p>
    <w:p w14:paraId="4FF63F50">
      <w:pPr>
        <w:pStyle w:val="174"/>
        <w:numPr>
          <w:ilvl w:val="0"/>
          <w:numId w:val="37"/>
        </w:numPr>
        <w:rPr>
          <w:rFonts w:hint="eastAsia"/>
        </w:rPr>
      </w:pPr>
      <w:r>
        <w:rPr>
          <w:rFonts w:hint="eastAsia"/>
        </w:rPr>
        <w:t>内部审核与管理评审制度：规范内部审核和管理评审的频次、范围、流程、方法及报告要求；</w:t>
      </w:r>
    </w:p>
    <w:p w14:paraId="125E1DE0">
      <w:pPr>
        <w:pStyle w:val="174"/>
        <w:numPr>
          <w:ilvl w:val="0"/>
          <w:numId w:val="37"/>
        </w:numPr>
        <w:rPr>
          <w:rFonts w:hint="eastAsia"/>
        </w:rPr>
      </w:pPr>
      <w:r>
        <w:rPr>
          <w:rFonts w:hint="eastAsia"/>
        </w:rPr>
        <w:t>纠正与改进制度：建立不符合项识别、报告、调查、处理及纠正措施制定、实施、验证的流程，明确持续改进的机制和要求；</w:t>
      </w:r>
    </w:p>
    <w:p w14:paraId="45E9DE3E">
      <w:pPr>
        <w:pStyle w:val="174"/>
        <w:numPr>
          <w:ilvl w:val="0"/>
          <w:numId w:val="37"/>
        </w:numPr>
        <w:rPr>
          <w:rFonts w:hint="eastAsia"/>
        </w:rPr>
      </w:pPr>
      <w:r>
        <w:rPr>
          <w:rFonts w:hint="eastAsia"/>
        </w:rPr>
        <w:t>信息交流与保密制度：规定内外部信息交流的内容、方式、渠道及记录要求，明确碳计量数据和相关信息的保密责任。</w:t>
      </w:r>
    </w:p>
    <w:p w14:paraId="38BF8606">
      <w:pPr>
        <w:pStyle w:val="105"/>
        <w:spacing w:before="120" w:after="120"/>
        <w:rPr>
          <w:rFonts w:hint="eastAsia"/>
          <w:lang w:val="en-US" w:eastAsia="zh-CN"/>
        </w:rPr>
      </w:pPr>
      <w:r>
        <w:rPr>
          <w:rFonts w:hint="eastAsia"/>
          <w:lang w:val="en-US" w:eastAsia="zh-CN"/>
        </w:rPr>
        <w:t>制度制定与修订</w:t>
      </w:r>
    </w:p>
    <w:p w14:paraId="0827E6B3">
      <w:pPr>
        <w:pStyle w:val="56"/>
        <w:ind w:firstLine="420"/>
        <w:rPr>
          <w:rFonts w:hint="eastAsia"/>
        </w:rPr>
      </w:pPr>
      <w:r>
        <w:rPr>
          <w:rFonts w:hint="eastAsia"/>
        </w:rPr>
        <w:t>制度文件的制定应广泛征求各相关部门和岗位的意见，确保其科学性、合理性和可操作性。制度经审批发布后，应及时传达至所有相关人员，确保其理解并严格执行。同时，应建立制度动态修订机制，根据法律法规更新、标准规范变化、单位生产经营调整及体系运行评价结果，定期对制度进行评审和修订，确保制度的时效性和适宜性。</w:t>
      </w:r>
    </w:p>
    <w:p w14:paraId="2F1FE109">
      <w:pPr>
        <w:pStyle w:val="104"/>
        <w:spacing w:before="240" w:after="240"/>
        <w:rPr>
          <w:rFonts w:hint="eastAsia"/>
          <w:lang w:val="en-US" w:eastAsia="zh-CN"/>
        </w:rPr>
      </w:pPr>
      <w:bookmarkStart w:id="54" w:name="_Toc8343"/>
      <w:r>
        <w:rPr>
          <w:rFonts w:hint="eastAsia"/>
          <w:lang w:val="en-US" w:eastAsia="zh-CN"/>
        </w:rPr>
        <w:t>资源配置</w:t>
      </w:r>
      <w:bookmarkEnd w:id="54"/>
    </w:p>
    <w:p w14:paraId="4CADDE67">
      <w:pPr>
        <w:pStyle w:val="105"/>
        <w:spacing w:before="120" w:after="120"/>
        <w:rPr>
          <w:rFonts w:hint="eastAsia"/>
          <w:lang w:val="en-US" w:eastAsia="zh-CN"/>
        </w:rPr>
      </w:pPr>
      <w:r>
        <w:rPr>
          <w:rFonts w:hint="eastAsia"/>
          <w:lang w:val="en-US" w:eastAsia="zh-CN"/>
        </w:rPr>
        <w:t>人员配置与能力提升</w:t>
      </w:r>
    </w:p>
    <w:p w14:paraId="2969C45C">
      <w:pPr>
        <w:pStyle w:val="65"/>
        <w:spacing w:before="120" w:after="120"/>
        <w:rPr>
          <w:rFonts w:hint="eastAsia"/>
          <w:lang w:val="en-US" w:eastAsia="zh-CN"/>
        </w:rPr>
      </w:pPr>
      <w:r>
        <w:rPr>
          <w:rFonts w:hint="eastAsia"/>
          <w:lang w:val="en-US" w:eastAsia="zh-CN"/>
        </w:rPr>
        <w:t>人员配备</w:t>
      </w:r>
    </w:p>
    <w:p w14:paraId="5EA2E624">
      <w:pPr>
        <w:pStyle w:val="56"/>
        <w:ind w:firstLine="420"/>
        <w:rPr>
          <w:rFonts w:hint="eastAsia"/>
        </w:rPr>
      </w:pPr>
      <w:r>
        <w:rPr>
          <w:rFonts w:hint="eastAsia"/>
        </w:rPr>
        <w:t>重点排放单位应根据本单位的排放源数量、计量器具规模、数据处理复杂度等实际情况，配备足够数量的专业碳计量人员。其中，计量器具检定/校准人员应取得相应的资质证书，数据处理和分析人员应具备相关的专业知识和技能。同时，应设专人负责计量器具管理和数据管理工作，确保各项职责落实到位。</w:t>
      </w:r>
    </w:p>
    <w:p w14:paraId="35D9A2DD">
      <w:pPr>
        <w:pStyle w:val="65"/>
        <w:spacing w:before="120" w:after="120"/>
        <w:rPr>
          <w:rFonts w:hint="eastAsia"/>
          <w:lang w:val="en-US" w:eastAsia="zh-CN"/>
        </w:rPr>
      </w:pPr>
      <w:r>
        <w:rPr>
          <w:rFonts w:hint="eastAsia"/>
          <w:lang w:val="en-US" w:eastAsia="zh-CN"/>
        </w:rPr>
        <w:t>培训与考核</w:t>
      </w:r>
    </w:p>
    <w:p w14:paraId="5D6FE0A8">
      <w:pPr>
        <w:pStyle w:val="174"/>
        <w:numPr>
          <w:ilvl w:val="0"/>
          <w:numId w:val="38"/>
        </w:numPr>
        <w:rPr>
          <w:rFonts w:hint="eastAsia"/>
        </w:rPr>
      </w:pPr>
      <w:r>
        <w:rPr>
          <w:rFonts w:hint="eastAsia"/>
        </w:rPr>
        <w:t>制定年度碳计量人员培训计划，培训内容应包括法律法规、标准规范、制度文件、计量器具操作、数据采集与处理、体系运行等方面；</w:t>
      </w:r>
    </w:p>
    <w:p w14:paraId="4AD6B1BF">
      <w:pPr>
        <w:pStyle w:val="174"/>
        <w:numPr>
          <w:ilvl w:val="0"/>
          <w:numId w:val="38"/>
        </w:numPr>
        <w:rPr>
          <w:rFonts w:hint="eastAsia"/>
        </w:rPr>
      </w:pPr>
      <w:r>
        <w:rPr>
          <w:rFonts w:hint="eastAsia"/>
        </w:rPr>
        <w:t>定期组织内部培训、外部培训或技术交流活动，提升人员的专业能力和业务水平；</w:t>
      </w:r>
    </w:p>
    <w:p w14:paraId="53864D10">
      <w:pPr>
        <w:pStyle w:val="174"/>
        <w:numPr>
          <w:ilvl w:val="0"/>
          <w:numId w:val="38"/>
        </w:numPr>
        <w:rPr>
          <w:rFonts w:hint="eastAsia"/>
        </w:rPr>
      </w:pPr>
      <w:r>
        <w:rPr>
          <w:rFonts w:hint="eastAsia"/>
        </w:rPr>
        <w:t>建立培训考核机制，对培训效果进行评估，考核结果作为人员岗位调整、绩效评价的重要依据；</w:t>
      </w:r>
    </w:p>
    <w:p w14:paraId="4D62A0E3">
      <w:pPr>
        <w:pStyle w:val="174"/>
        <w:numPr>
          <w:ilvl w:val="0"/>
          <w:numId w:val="38"/>
        </w:numPr>
        <w:rPr>
          <w:rFonts w:hint="eastAsia"/>
        </w:rPr>
      </w:pPr>
      <w:r>
        <w:rPr>
          <w:rFonts w:hint="eastAsia"/>
        </w:rPr>
        <w:t>鼓励碳计量管理和技术人员获取注册计量师等相关职业资格，提升队伍整体素质。</w:t>
      </w:r>
    </w:p>
    <w:p w14:paraId="7651F874">
      <w:pPr>
        <w:pStyle w:val="105"/>
        <w:spacing w:before="120" w:after="120"/>
        <w:rPr>
          <w:rFonts w:hint="eastAsia"/>
          <w:lang w:val="en-US" w:eastAsia="zh-CN"/>
        </w:rPr>
      </w:pPr>
      <w:r>
        <w:rPr>
          <w:rFonts w:hint="eastAsia"/>
          <w:lang w:val="en-US" w:eastAsia="zh-CN"/>
        </w:rPr>
        <w:t>计量器具配备与管理</w:t>
      </w:r>
    </w:p>
    <w:p w14:paraId="32D337D7">
      <w:pPr>
        <w:pStyle w:val="65"/>
        <w:spacing w:before="120" w:after="120"/>
        <w:rPr>
          <w:rFonts w:hint="eastAsia"/>
          <w:lang w:val="en-US" w:eastAsia="zh-CN"/>
        </w:rPr>
      </w:pPr>
      <w:r>
        <w:rPr>
          <w:rFonts w:hint="eastAsia"/>
          <w:lang w:val="en-US" w:eastAsia="zh-CN"/>
        </w:rPr>
        <w:t>配备原则与要求</w:t>
      </w:r>
    </w:p>
    <w:p w14:paraId="7C33A240">
      <w:pPr>
        <w:pStyle w:val="174"/>
        <w:numPr>
          <w:ilvl w:val="0"/>
          <w:numId w:val="39"/>
        </w:numPr>
        <w:rPr>
          <w:rFonts w:hint="eastAsia"/>
        </w:rPr>
      </w:pPr>
      <w:r>
        <w:rPr>
          <w:rFonts w:hint="eastAsia"/>
        </w:rPr>
        <w:t>应按照GB 17167等相关标准、计量技术规范及温室气体排放核算与报告指南的要求，结合本单位的计量边界、排放源特性和监测需求，合理选择和配备碳计量器具；</w:t>
      </w:r>
    </w:p>
    <w:p w14:paraId="5B451B84">
      <w:pPr>
        <w:pStyle w:val="174"/>
        <w:numPr>
          <w:ilvl w:val="0"/>
          <w:numId w:val="39"/>
        </w:numPr>
        <w:rPr>
          <w:rFonts w:hint="eastAsia"/>
        </w:rPr>
      </w:pPr>
      <w:r>
        <w:rPr>
          <w:rFonts w:hint="eastAsia"/>
        </w:rPr>
        <w:t>计量器具的准确度等级、测量范围等技术指标应满足碳计量数据采集的要求，优先选择智能化、具有远程传输功能的计量器具，为数字化管理奠定基础；</w:t>
      </w:r>
    </w:p>
    <w:p w14:paraId="0D23511B">
      <w:pPr>
        <w:pStyle w:val="174"/>
        <w:numPr>
          <w:ilvl w:val="0"/>
          <w:numId w:val="39"/>
        </w:numPr>
        <w:rPr>
          <w:rFonts w:hint="eastAsia"/>
        </w:rPr>
      </w:pPr>
      <w:r>
        <w:rPr>
          <w:rFonts w:hint="eastAsia"/>
        </w:rPr>
        <w:t>对排放源进行全面识别，明确计量采集点，根据采集点的分布和监测频次，确定计量器具的种类、数量和安装位置。</w:t>
      </w:r>
    </w:p>
    <w:p w14:paraId="195D7C2C">
      <w:pPr>
        <w:pStyle w:val="65"/>
        <w:spacing w:before="120" w:after="120"/>
        <w:rPr>
          <w:rFonts w:hint="eastAsia"/>
          <w:lang w:val="en-US" w:eastAsia="zh-CN"/>
        </w:rPr>
      </w:pPr>
      <w:r>
        <w:rPr>
          <w:rFonts w:hint="eastAsia"/>
          <w:lang w:val="en-US" w:eastAsia="zh-CN"/>
        </w:rPr>
        <w:t>配备量确认与更新</w:t>
      </w:r>
    </w:p>
    <w:p w14:paraId="6049BA21">
      <w:pPr>
        <w:pStyle w:val="174"/>
        <w:numPr>
          <w:ilvl w:val="0"/>
          <w:numId w:val="40"/>
        </w:numPr>
        <w:rPr>
          <w:rFonts w:hint="eastAsia"/>
        </w:rPr>
      </w:pPr>
      <w:r>
        <w:rPr>
          <w:rFonts w:hint="eastAsia"/>
        </w:rPr>
        <w:t>定期（至少每年一次）对本单位的排放源、计量采集点进行复核，结合生产工艺调整、产能变化等情况，对碳计量器具的配备量进行重新确认；</w:t>
      </w:r>
    </w:p>
    <w:p w14:paraId="2D386305">
      <w:pPr>
        <w:pStyle w:val="174"/>
        <w:numPr>
          <w:ilvl w:val="0"/>
          <w:numId w:val="40"/>
        </w:numPr>
        <w:rPr>
          <w:rFonts w:hint="eastAsia"/>
        </w:rPr>
      </w:pPr>
      <w:r>
        <w:rPr>
          <w:rFonts w:hint="eastAsia"/>
        </w:rPr>
        <w:t>当现有计量器具无法满足监测需求、技术落后或达到使用年限时，应及时进行更新换代，确保计量器具的适用性和可靠性。</w:t>
      </w:r>
    </w:p>
    <w:p w14:paraId="2ACE23DF">
      <w:pPr>
        <w:pStyle w:val="65"/>
        <w:spacing w:before="120" w:after="120"/>
        <w:rPr>
          <w:rFonts w:hint="eastAsia"/>
          <w:lang w:val="en-US" w:eastAsia="zh-CN"/>
        </w:rPr>
      </w:pPr>
      <w:r>
        <w:rPr>
          <w:rFonts w:hint="eastAsia"/>
          <w:lang w:val="en-US" w:eastAsia="zh-CN"/>
        </w:rPr>
        <w:t>环境条件保障</w:t>
      </w:r>
    </w:p>
    <w:p w14:paraId="500B799F">
      <w:pPr>
        <w:pStyle w:val="56"/>
        <w:ind w:firstLine="420"/>
        <w:rPr>
          <w:rFonts w:hint="eastAsia"/>
        </w:rPr>
      </w:pPr>
      <w:r>
        <w:rPr>
          <w:rFonts w:hint="eastAsia"/>
        </w:rPr>
        <w:t>重点排放单位应确保碳计量器具的使用环境符合其技术要求，对温度、湿度、气压、粉尘、振动等环境因素进行监测和控制，并做好记录。对于安装在恶劣环境下的计量器具，应采取必要的防护措施，保障其正常运行。</w:t>
      </w:r>
    </w:p>
    <w:p w14:paraId="0743F70A">
      <w:pPr>
        <w:pStyle w:val="105"/>
        <w:spacing w:before="120" w:after="120"/>
        <w:rPr>
          <w:rFonts w:hint="eastAsia"/>
          <w:lang w:val="en-US" w:eastAsia="zh-CN"/>
        </w:rPr>
      </w:pPr>
      <w:r>
        <w:rPr>
          <w:rFonts w:hint="eastAsia"/>
          <w:lang w:val="en-US" w:eastAsia="zh-CN"/>
        </w:rPr>
        <w:t>设施与信息化建设</w:t>
      </w:r>
    </w:p>
    <w:p w14:paraId="0AE04470">
      <w:pPr>
        <w:pStyle w:val="65"/>
        <w:spacing w:before="120" w:after="120"/>
        <w:rPr>
          <w:rFonts w:hint="eastAsia"/>
          <w:lang w:val="en-US" w:eastAsia="zh-CN"/>
        </w:rPr>
      </w:pPr>
      <w:r>
        <w:rPr>
          <w:rFonts w:hint="eastAsia"/>
          <w:lang w:val="en-US" w:eastAsia="zh-CN"/>
        </w:rPr>
        <w:t>实验室建设</w:t>
      </w:r>
    </w:p>
    <w:p w14:paraId="3CDB56A1">
      <w:pPr>
        <w:pStyle w:val="56"/>
        <w:ind w:firstLine="420"/>
        <w:rPr>
          <w:rFonts w:hint="eastAsia"/>
        </w:rPr>
      </w:pPr>
      <w:r>
        <w:rPr>
          <w:rFonts w:hint="eastAsia"/>
        </w:rPr>
        <w:t>有条件的重点排放单位可参照GB/T 27025的相关规定建立自有实验室，用于开展碳计量相关的取样、检测、校准等活动。实验室应配备必要的设备设施，建立完善的管理体系，确保实验活动的规范性和结果的准确性。</w:t>
      </w:r>
    </w:p>
    <w:p w14:paraId="0D61F0F4">
      <w:pPr>
        <w:pStyle w:val="65"/>
        <w:spacing w:before="120" w:after="120"/>
        <w:rPr>
          <w:rFonts w:hint="eastAsia"/>
          <w:lang w:val="en-US" w:eastAsia="zh-CN"/>
        </w:rPr>
      </w:pPr>
      <w:r>
        <w:rPr>
          <w:rFonts w:hint="eastAsia"/>
          <w:lang w:val="en-US" w:eastAsia="zh-CN"/>
        </w:rPr>
        <w:t>数字化系统建设</w:t>
      </w:r>
    </w:p>
    <w:p w14:paraId="29B45D56">
      <w:pPr>
        <w:pStyle w:val="174"/>
        <w:numPr>
          <w:ilvl w:val="0"/>
          <w:numId w:val="41"/>
        </w:numPr>
        <w:rPr>
          <w:rFonts w:hint="eastAsia"/>
        </w:rPr>
      </w:pPr>
      <w:r>
        <w:rPr>
          <w:rFonts w:hint="eastAsia"/>
        </w:rPr>
        <w:t>建立碳计量管理数字化系统，实现计量器具管理、数据采集、传输、处理、统计、分析、报告等全流程信息化管理；</w:t>
      </w:r>
    </w:p>
    <w:p w14:paraId="10820A18">
      <w:pPr>
        <w:pStyle w:val="174"/>
        <w:numPr>
          <w:ilvl w:val="0"/>
          <w:numId w:val="41"/>
        </w:numPr>
        <w:rPr>
          <w:rFonts w:hint="eastAsia"/>
        </w:rPr>
      </w:pPr>
      <w:r>
        <w:rPr>
          <w:rFonts w:hint="eastAsia"/>
        </w:rPr>
        <w:t>确保数字化系统的稳定性和安全性，对系统软件进行测试和确认后投入使用，留存测试记录；</w:t>
      </w:r>
    </w:p>
    <w:p w14:paraId="1ED26AE9">
      <w:pPr>
        <w:pStyle w:val="174"/>
        <w:numPr>
          <w:ilvl w:val="0"/>
          <w:numId w:val="41"/>
        </w:numPr>
        <w:rPr>
          <w:rFonts w:hint="eastAsia"/>
        </w:rPr>
      </w:pPr>
      <w:r>
        <w:rPr>
          <w:rFonts w:hint="eastAsia"/>
        </w:rPr>
        <w:t>建立数据安全保障机制，采取加密、备份、权限管理等措施，防止数据丢失、篡改或泄露；</w:t>
      </w:r>
    </w:p>
    <w:p w14:paraId="766881BA">
      <w:pPr>
        <w:pStyle w:val="174"/>
        <w:numPr>
          <w:ilvl w:val="0"/>
          <w:numId w:val="41"/>
        </w:numPr>
        <w:rPr>
          <w:rFonts w:hint="eastAsia"/>
        </w:rPr>
      </w:pPr>
      <w:r>
        <w:rPr>
          <w:rFonts w:hint="eastAsia"/>
        </w:rPr>
        <w:t>根据技术发展和管理需求，及时对数字化系统进行更新迭代，提升系统的功能和易用性。</w:t>
      </w:r>
    </w:p>
    <w:p w14:paraId="4EEAF07B">
      <w:pPr>
        <w:pStyle w:val="105"/>
        <w:spacing w:before="120" w:after="120"/>
        <w:rPr>
          <w:rFonts w:hint="eastAsia"/>
          <w:lang w:val="en-US" w:eastAsia="zh-CN"/>
        </w:rPr>
      </w:pPr>
      <w:r>
        <w:rPr>
          <w:rFonts w:hint="eastAsia"/>
          <w:lang w:val="en-US" w:eastAsia="zh-CN"/>
        </w:rPr>
        <w:t>文件与记录管理</w:t>
      </w:r>
    </w:p>
    <w:p w14:paraId="6EFF0ED2">
      <w:pPr>
        <w:pStyle w:val="65"/>
        <w:spacing w:before="120" w:after="120"/>
        <w:rPr>
          <w:rFonts w:hint="eastAsia"/>
          <w:lang w:val="en-US" w:eastAsia="zh-CN"/>
        </w:rPr>
      </w:pPr>
      <w:r>
        <w:rPr>
          <w:rFonts w:hint="eastAsia"/>
          <w:lang w:val="en-US" w:eastAsia="zh-CN"/>
        </w:rPr>
        <w:t>文件管理</w:t>
      </w:r>
    </w:p>
    <w:p w14:paraId="7C4163EE">
      <w:pPr>
        <w:pStyle w:val="174"/>
        <w:numPr>
          <w:ilvl w:val="0"/>
          <w:numId w:val="42"/>
        </w:numPr>
        <w:rPr>
          <w:rFonts w:hint="eastAsia"/>
        </w:rPr>
      </w:pPr>
      <w:r>
        <w:rPr>
          <w:rFonts w:hint="eastAsia"/>
        </w:rPr>
        <w:t>建立碳计量管理体系文件清单，明确文件的编号、名称、版本、发布日期、适用范围等信息；</w:t>
      </w:r>
    </w:p>
    <w:p w14:paraId="0A96BB42">
      <w:pPr>
        <w:pStyle w:val="174"/>
        <w:numPr>
          <w:ilvl w:val="0"/>
          <w:numId w:val="42"/>
        </w:numPr>
        <w:rPr>
          <w:rFonts w:hint="eastAsia"/>
        </w:rPr>
      </w:pPr>
      <w:r>
        <w:rPr>
          <w:rFonts w:hint="eastAsia"/>
        </w:rPr>
        <w:t>规范文件的编制、审核、批准、发布、分发、使用、变更、作废等流程，确保文件的受控管理；</w:t>
      </w:r>
    </w:p>
    <w:p w14:paraId="328A3C6E">
      <w:pPr>
        <w:pStyle w:val="174"/>
        <w:numPr>
          <w:ilvl w:val="0"/>
          <w:numId w:val="42"/>
        </w:numPr>
        <w:rPr>
          <w:rFonts w:hint="eastAsia"/>
        </w:rPr>
      </w:pPr>
      <w:r>
        <w:rPr>
          <w:rFonts w:hint="eastAsia"/>
        </w:rPr>
        <w:t>及时回收作废文件，防止误用，同时保留必要的作废文件存档备查。</w:t>
      </w:r>
    </w:p>
    <w:p w14:paraId="77188EB8">
      <w:pPr>
        <w:pStyle w:val="65"/>
        <w:spacing w:before="120" w:after="120"/>
        <w:rPr>
          <w:rFonts w:hint="eastAsia"/>
          <w:lang w:val="en-US" w:eastAsia="zh-CN"/>
        </w:rPr>
      </w:pPr>
      <w:r>
        <w:rPr>
          <w:rFonts w:hint="eastAsia"/>
          <w:lang w:val="en-US" w:eastAsia="zh-CN"/>
        </w:rPr>
        <w:t>记录管理</w:t>
      </w:r>
    </w:p>
    <w:p w14:paraId="5C191E49">
      <w:pPr>
        <w:pStyle w:val="174"/>
        <w:numPr>
          <w:ilvl w:val="0"/>
          <w:numId w:val="43"/>
        </w:numPr>
        <w:rPr>
          <w:rFonts w:hint="eastAsia"/>
        </w:rPr>
      </w:pPr>
      <w:r>
        <w:rPr>
          <w:rFonts w:hint="eastAsia"/>
        </w:rPr>
        <w:t>建立健全碳计量记录体系，记录内容应包括计量器具台帐、检定/校准记录、数据采集记录、数据处理记录、培训记录、内部审核记录、管理评审记录、纠正与改进记录等；</w:t>
      </w:r>
    </w:p>
    <w:p w14:paraId="0F0659CA">
      <w:pPr>
        <w:pStyle w:val="174"/>
        <w:numPr>
          <w:ilvl w:val="0"/>
          <w:numId w:val="43"/>
        </w:numPr>
        <w:rPr>
          <w:rFonts w:hint="eastAsia"/>
        </w:rPr>
      </w:pPr>
      <w:r>
        <w:rPr>
          <w:rFonts w:hint="eastAsia"/>
        </w:rPr>
        <w:t>记录应具有可追溯性，明确记录的填写人、填写日期、审核人、审核日期等信息，确保记录的真实、完整、准确；</w:t>
      </w:r>
    </w:p>
    <w:p w14:paraId="0AD7A2FD">
      <w:pPr>
        <w:pStyle w:val="174"/>
        <w:numPr>
          <w:ilvl w:val="0"/>
          <w:numId w:val="43"/>
        </w:numPr>
        <w:rPr>
          <w:rFonts w:hint="eastAsia"/>
        </w:rPr>
      </w:pPr>
      <w:r>
        <w:rPr>
          <w:rFonts w:hint="eastAsia"/>
        </w:rPr>
        <w:t>规范记录的标识、存储、保护、检索和处置，采用适宜的存储方式（纸质或电子），确保记录在规定的保存期限内完好无损。保存期限应符合相关法律法规和合规义务的要求，至少不低于3年。</w:t>
      </w:r>
    </w:p>
    <w:p w14:paraId="3E4D5716">
      <w:pPr>
        <w:pStyle w:val="104"/>
        <w:spacing w:before="240" w:after="240"/>
        <w:rPr>
          <w:rFonts w:hint="eastAsia"/>
          <w:lang w:val="en-US" w:eastAsia="zh-CN"/>
        </w:rPr>
      </w:pPr>
      <w:bookmarkStart w:id="55" w:name="_Toc24477"/>
      <w:r>
        <w:rPr>
          <w:rFonts w:hint="eastAsia"/>
          <w:lang w:val="en-US" w:eastAsia="zh-CN"/>
        </w:rPr>
        <w:t>实施流程</w:t>
      </w:r>
      <w:bookmarkEnd w:id="55"/>
    </w:p>
    <w:p w14:paraId="40B539AC">
      <w:pPr>
        <w:pStyle w:val="105"/>
        <w:spacing w:before="120" w:after="120"/>
        <w:rPr>
          <w:rFonts w:hint="eastAsia"/>
          <w:lang w:val="en-US" w:eastAsia="zh-CN"/>
        </w:rPr>
      </w:pPr>
      <w:r>
        <w:rPr>
          <w:rFonts w:hint="eastAsia"/>
          <w:lang w:val="en-US" w:eastAsia="zh-CN"/>
        </w:rPr>
        <w:t>计量策划</w:t>
      </w:r>
    </w:p>
    <w:p w14:paraId="5477D8F7">
      <w:pPr>
        <w:pStyle w:val="65"/>
        <w:spacing w:before="120" w:after="120"/>
        <w:rPr>
          <w:rFonts w:hint="eastAsia"/>
          <w:lang w:val="en-US" w:eastAsia="zh-CN"/>
        </w:rPr>
      </w:pPr>
      <w:r>
        <w:rPr>
          <w:rFonts w:hint="eastAsia"/>
          <w:lang w:val="en-US" w:eastAsia="zh-CN"/>
        </w:rPr>
        <w:t>计量边界确定</w:t>
      </w:r>
    </w:p>
    <w:p w14:paraId="194AFFD5">
      <w:pPr>
        <w:pStyle w:val="56"/>
        <w:ind w:firstLine="420"/>
        <w:rPr>
          <w:rFonts w:hint="eastAsia"/>
        </w:rPr>
      </w:pPr>
      <w:r>
        <w:rPr>
          <w:rFonts w:hint="eastAsia"/>
        </w:rPr>
        <w:t>重点排放单位应按照GB/T 32150、GB/T 32151等相关标准的要求，结合本单位的生产经营活动范围，明确碳计量边界。计量边界应与温室气体排放核算边界保持一致，可分为企业层级、工序层级、设施层级等，确保不遗漏、不重复计算排放源。</w:t>
      </w:r>
    </w:p>
    <w:p w14:paraId="20DF8138">
      <w:pPr>
        <w:pStyle w:val="65"/>
        <w:spacing w:before="120" w:after="120"/>
        <w:rPr>
          <w:rFonts w:hint="eastAsia"/>
          <w:lang w:val="en-US" w:eastAsia="zh-CN"/>
        </w:rPr>
      </w:pPr>
      <w:r>
        <w:rPr>
          <w:rFonts w:hint="eastAsia"/>
          <w:lang w:val="en-US" w:eastAsia="zh-CN"/>
        </w:rPr>
        <w:t>排放源识别与分类</w:t>
      </w:r>
    </w:p>
    <w:p w14:paraId="5BBE3877">
      <w:pPr>
        <w:pStyle w:val="56"/>
        <w:ind w:firstLine="420"/>
        <w:rPr>
          <w:rFonts w:hint="eastAsia"/>
        </w:rPr>
      </w:pPr>
      <w:r>
        <w:rPr>
          <w:rFonts w:hint="eastAsia"/>
        </w:rPr>
        <w:t>对计量边界内的所有温室气体排放源进行全面识别，包括化石燃料燃烧排放源、工业生产过程排放源、外购电力和热力使用间接排放源、含碳产品隐含排放源等。根据排放源的类型、排放规模、监测难度等进行分类管理，对重点排放源实施精细化计量。</w:t>
      </w:r>
    </w:p>
    <w:p w14:paraId="59A5DD7E">
      <w:pPr>
        <w:pStyle w:val="65"/>
        <w:spacing w:before="120" w:after="120"/>
        <w:rPr>
          <w:rFonts w:hint="eastAsia"/>
          <w:lang w:val="en-US" w:eastAsia="zh-CN"/>
        </w:rPr>
      </w:pPr>
      <w:r>
        <w:rPr>
          <w:rFonts w:hint="eastAsia"/>
          <w:lang w:val="en-US" w:eastAsia="zh-CN"/>
        </w:rPr>
        <w:t>监测计划制定</w:t>
      </w:r>
    </w:p>
    <w:p w14:paraId="332E199E">
      <w:pPr>
        <w:pStyle w:val="174"/>
        <w:numPr>
          <w:ilvl w:val="0"/>
          <w:numId w:val="0"/>
        </w:numPr>
        <w:ind w:firstLine="420" w:firstLineChars="200"/>
        <w:rPr>
          <w:rFonts w:hint="eastAsia"/>
          <w:lang w:val="en-US" w:eastAsia="zh-CN"/>
        </w:rPr>
      </w:pPr>
      <w:r>
        <w:rPr>
          <w:rFonts w:hint="eastAsia"/>
          <w:lang w:val="en-US" w:eastAsia="zh-CN"/>
        </w:rPr>
        <w:t>制定详细的碳计量监测计划，明确以下内容：</w:t>
      </w:r>
    </w:p>
    <w:p w14:paraId="3830FF53">
      <w:pPr>
        <w:pStyle w:val="174"/>
        <w:numPr>
          <w:ilvl w:val="0"/>
          <w:numId w:val="44"/>
        </w:numPr>
        <w:rPr>
          <w:rFonts w:hint="eastAsia"/>
        </w:rPr>
      </w:pPr>
      <w:r>
        <w:rPr>
          <w:rFonts w:hint="eastAsia"/>
        </w:rPr>
        <w:t>监测参数：包括温室气体种类、流量、浓度、温度、压力等与碳排放计算相关的参数，明确各参数的量纲单位；</w:t>
      </w:r>
    </w:p>
    <w:p w14:paraId="510F7076">
      <w:pPr>
        <w:pStyle w:val="174"/>
        <w:numPr>
          <w:ilvl w:val="0"/>
          <w:numId w:val="44"/>
        </w:numPr>
        <w:rPr>
          <w:rFonts w:hint="eastAsia"/>
        </w:rPr>
      </w:pPr>
      <w:r>
        <w:rPr>
          <w:rFonts w:hint="eastAsia"/>
        </w:rPr>
        <w:t>数据获取方式：根据排放源特性和监测要求，确定采用实测值、计算值或第三方检测数据等方式；</w:t>
      </w:r>
    </w:p>
    <w:p w14:paraId="70E649F8">
      <w:pPr>
        <w:pStyle w:val="174"/>
        <w:numPr>
          <w:ilvl w:val="0"/>
          <w:numId w:val="44"/>
        </w:numPr>
        <w:rPr>
          <w:rFonts w:hint="eastAsia"/>
        </w:rPr>
      </w:pPr>
      <w:r>
        <w:rPr>
          <w:rFonts w:hint="eastAsia"/>
        </w:rPr>
        <w:t>数据采集方式：明确自动采集、人工采集或第三方公正计量等采集方式，规定采集频次和时间；</w:t>
      </w:r>
    </w:p>
    <w:p w14:paraId="2652B730">
      <w:pPr>
        <w:pStyle w:val="174"/>
        <w:numPr>
          <w:ilvl w:val="0"/>
          <w:numId w:val="44"/>
        </w:numPr>
        <w:rPr>
          <w:rFonts w:hint="eastAsia"/>
        </w:rPr>
      </w:pPr>
      <w:r>
        <w:rPr>
          <w:rFonts w:hint="eastAsia"/>
        </w:rPr>
        <w:t>计量器具信息：列出各监测参数对应的计量器具名称、型号规格、准确度等级、安装位置、检定/校准频次及依据的技术规范；</w:t>
      </w:r>
    </w:p>
    <w:p w14:paraId="0206EB29">
      <w:pPr>
        <w:pStyle w:val="174"/>
        <w:numPr>
          <w:ilvl w:val="0"/>
          <w:numId w:val="44"/>
        </w:numPr>
        <w:rPr>
          <w:rFonts w:hint="eastAsia"/>
        </w:rPr>
      </w:pPr>
      <w:r>
        <w:rPr>
          <w:rFonts w:hint="eastAsia"/>
        </w:rPr>
        <w:t>数据记录要求：明确数据记录的内容、格式、频次及保存方式；</w:t>
      </w:r>
    </w:p>
    <w:p w14:paraId="2CF663E5">
      <w:pPr>
        <w:pStyle w:val="174"/>
        <w:numPr>
          <w:ilvl w:val="0"/>
          <w:numId w:val="44"/>
        </w:numPr>
        <w:rPr>
          <w:rFonts w:hint="eastAsia"/>
        </w:rPr>
      </w:pPr>
      <w:r>
        <w:rPr>
          <w:rFonts w:hint="eastAsia"/>
        </w:rPr>
        <w:t>数据缺失处理：制定数据缺失时的处理方案，处理方式应遵循保守性原则，并符合相关标准和规范要求；</w:t>
      </w:r>
    </w:p>
    <w:p w14:paraId="48916CFE">
      <w:pPr>
        <w:pStyle w:val="174"/>
        <w:numPr>
          <w:ilvl w:val="0"/>
          <w:numId w:val="44"/>
        </w:numPr>
        <w:rPr>
          <w:rFonts w:hint="eastAsia"/>
        </w:rPr>
      </w:pPr>
      <w:r>
        <w:rPr>
          <w:rFonts w:hint="eastAsia"/>
        </w:rPr>
        <w:t>责任分工：明确各监测环节的责任部门和责任人。</w:t>
      </w:r>
    </w:p>
    <w:p w14:paraId="5680B584">
      <w:pPr>
        <w:pStyle w:val="105"/>
        <w:spacing w:before="120" w:after="120"/>
        <w:rPr>
          <w:rFonts w:hint="eastAsia"/>
          <w:lang w:val="en-US" w:eastAsia="zh-CN"/>
        </w:rPr>
      </w:pPr>
      <w:r>
        <w:rPr>
          <w:rFonts w:hint="eastAsia"/>
          <w:lang w:val="en-US" w:eastAsia="zh-CN"/>
        </w:rPr>
        <w:t>数据采集</w:t>
      </w:r>
    </w:p>
    <w:p w14:paraId="43C1F36A">
      <w:pPr>
        <w:pStyle w:val="65"/>
        <w:spacing w:before="120" w:after="120"/>
        <w:rPr>
          <w:rFonts w:hint="eastAsia"/>
          <w:lang w:val="en-US" w:eastAsia="zh-CN"/>
        </w:rPr>
      </w:pPr>
      <w:r>
        <w:rPr>
          <w:rFonts w:hint="eastAsia"/>
          <w:lang w:val="en-US" w:eastAsia="zh-CN"/>
        </w:rPr>
        <w:t>采集要求</w:t>
      </w:r>
    </w:p>
    <w:p w14:paraId="3FDEDDBA">
      <w:pPr>
        <w:pStyle w:val="174"/>
        <w:numPr>
          <w:ilvl w:val="0"/>
          <w:numId w:val="45"/>
        </w:numPr>
        <w:rPr>
          <w:rFonts w:hint="eastAsia"/>
        </w:rPr>
      </w:pPr>
      <w:r>
        <w:rPr>
          <w:rFonts w:hint="eastAsia"/>
        </w:rPr>
        <w:t>数据采集人员应严格按照监测计划和操作规范进行数据采集，确保采集的数据与计量器具实际测量结果一致，不得伪造、篡改数据；</w:t>
      </w:r>
    </w:p>
    <w:p w14:paraId="6F23AA62">
      <w:pPr>
        <w:pStyle w:val="174"/>
        <w:numPr>
          <w:ilvl w:val="0"/>
          <w:numId w:val="45"/>
        </w:numPr>
        <w:rPr>
          <w:rFonts w:hint="eastAsia"/>
        </w:rPr>
      </w:pPr>
      <w:r>
        <w:rPr>
          <w:rFonts w:hint="eastAsia"/>
        </w:rPr>
        <w:t>采用自动采集方式的，应定期检查数据采集设备的运行状态，确保数据连续、完整采集；采用人工采集方式的，应规范采集流程，避免人为误差；</w:t>
      </w:r>
    </w:p>
    <w:p w14:paraId="230D60DD">
      <w:pPr>
        <w:pStyle w:val="174"/>
        <w:numPr>
          <w:ilvl w:val="0"/>
          <w:numId w:val="45"/>
        </w:numPr>
        <w:rPr>
          <w:rFonts w:hint="eastAsia"/>
        </w:rPr>
      </w:pPr>
      <w:r>
        <w:rPr>
          <w:rFonts w:hint="eastAsia"/>
        </w:rPr>
        <w:t>对于委托外部机构提供的数据，应签订正式合同，明确数据质量要求，并对数据的真实性、准确性进行验证后引用。</w:t>
      </w:r>
    </w:p>
    <w:p w14:paraId="0BEEAB59">
      <w:pPr>
        <w:pStyle w:val="65"/>
        <w:spacing w:before="120" w:after="120"/>
        <w:rPr>
          <w:rFonts w:hint="eastAsia"/>
          <w:lang w:val="en-US" w:eastAsia="zh-CN"/>
        </w:rPr>
      </w:pPr>
      <w:r>
        <w:rPr>
          <w:rFonts w:hint="eastAsia"/>
          <w:lang w:val="en-US" w:eastAsia="zh-CN"/>
        </w:rPr>
        <w:t>采集记录</w:t>
      </w:r>
    </w:p>
    <w:p w14:paraId="5C25CAA7">
      <w:pPr>
        <w:pStyle w:val="56"/>
        <w:ind w:firstLine="420"/>
        <w:rPr>
          <w:rFonts w:hint="eastAsia"/>
        </w:rPr>
      </w:pPr>
      <w:r>
        <w:rPr>
          <w:rFonts w:hint="eastAsia"/>
        </w:rPr>
        <w:t>数据采集完成后，应及时填写数据采集记录，记录内容应包括采集时间、采集地点、监测参数、测量值、计量器具编号、采集人、审核人等信息。采集记录应在采集完成后及时提交至数据管理岗位进行统一管理。</w:t>
      </w:r>
    </w:p>
    <w:p w14:paraId="7A42BC1B">
      <w:pPr>
        <w:pStyle w:val="105"/>
        <w:spacing w:before="120" w:after="120"/>
        <w:rPr>
          <w:rFonts w:hint="eastAsia"/>
          <w:lang w:val="en-US" w:eastAsia="zh-CN"/>
        </w:rPr>
      </w:pPr>
      <w:r>
        <w:rPr>
          <w:rFonts w:hint="eastAsia"/>
          <w:lang w:val="en-US" w:eastAsia="zh-CN"/>
        </w:rPr>
        <w:t>数据处理</w:t>
      </w:r>
    </w:p>
    <w:p w14:paraId="7FA1795D">
      <w:pPr>
        <w:pStyle w:val="65"/>
        <w:spacing w:before="120" w:after="120"/>
        <w:rPr>
          <w:rFonts w:hint="eastAsia"/>
          <w:lang w:val="en-US" w:eastAsia="zh-CN"/>
        </w:rPr>
      </w:pPr>
      <w:r>
        <w:rPr>
          <w:rFonts w:hint="eastAsia"/>
          <w:lang w:val="en-US" w:eastAsia="zh-CN"/>
        </w:rPr>
        <w:t>原始数据审核</w:t>
      </w:r>
    </w:p>
    <w:p w14:paraId="457A3EE4">
      <w:pPr>
        <w:pStyle w:val="56"/>
        <w:ind w:firstLine="420"/>
        <w:rPr>
          <w:rFonts w:hint="eastAsia"/>
        </w:rPr>
      </w:pPr>
      <w:r>
        <w:rPr>
          <w:rFonts w:hint="eastAsia"/>
        </w:rPr>
        <w:t>数据管理岗位收到采集记录后，应及时对原始数据进行审核，检查数据的完整性、准确性和合理性。对异常数据，应及时与采集人员沟通核实，查明原因并进行处理。原始数据不得随意更改，确需修改的，应注明修改原因、修改人及修改日期，并保留修改痕迹。</w:t>
      </w:r>
    </w:p>
    <w:p w14:paraId="6EAEF336">
      <w:pPr>
        <w:pStyle w:val="65"/>
        <w:spacing w:before="120" w:after="120"/>
        <w:rPr>
          <w:rFonts w:hint="eastAsia"/>
          <w:lang w:val="en-US" w:eastAsia="zh-CN"/>
        </w:rPr>
      </w:pPr>
      <w:r>
        <w:rPr>
          <w:rFonts w:hint="eastAsia"/>
          <w:lang w:val="en-US" w:eastAsia="zh-CN"/>
        </w:rPr>
        <w:t>数据换算与计算</w:t>
      </w:r>
    </w:p>
    <w:p w14:paraId="00BE47A0">
      <w:pPr>
        <w:pStyle w:val="56"/>
        <w:ind w:firstLine="420"/>
        <w:rPr>
          <w:rFonts w:hint="eastAsia"/>
        </w:rPr>
      </w:pPr>
      <w:r>
        <w:rPr>
          <w:rFonts w:hint="eastAsia"/>
        </w:rPr>
        <w:t>按照相关标准和监测计划规定的方法，对审核通过的原始数据进行换算和计算，得到各排放源的碳排放量。计算过程应清晰可追溯，保留计算公式、参数选取依据等相关记录。</w:t>
      </w:r>
    </w:p>
    <w:p w14:paraId="1CCD4356">
      <w:pPr>
        <w:pStyle w:val="65"/>
        <w:spacing w:before="120" w:after="120"/>
        <w:rPr>
          <w:rFonts w:hint="eastAsia"/>
          <w:lang w:val="en-US" w:eastAsia="zh-CN"/>
        </w:rPr>
      </w:pPr>
      <w:r>
        <w:rPr>
          <w:rFonts w:hint="eastAsia"/>
          <w:lang w:val="en-US" w:eastAsia="zh-CN"/>
        </w:rPr>
        <w:t>数据缺失处理</w:t>
      </w:r>
    </w:p>
    <w:p w14:paraId="314FD793">
      <w:pPr>
        <w:pStyle w:val="56"/>
        <w:ind w:firstLine="420"/>
        <w:rPr>
          <w:rFonts w:hint="eastAsia"/>
        </w:rPr>
      </w:pPr>
      <w:r>
        <w:rPr>
          <w:rFonts w:hint="eastAsia"/>
        </w:rPr>
        <w:t>当出现数据缺失时，应严格按照监测计划中规定的处理方式进行处理。若需采用估算方法，应确保估算方法科学合理，并在记录中详细说明估算依据、过程和结果。</w:t>
      </w:r>
    </w:p>
    <w:p w14:paraId="3CB6B471">
      <w:pPr>
        <w:pStyle w:val="105"/>
        <w:spacing w:before="120" w:after="120"/>
        <w:rPr>
          <w:rFonts w:hint="eastAsia"/>
          <w:lang w:val="en-US" w:eastAsia="zh-CN"/>
        </w:rPr>
      </w:pPr>
      <w:r>
        <w:rPr>
          <w:rFonts w:hint="eastAsia"/>
          <w:lang w:val="en-US" w:eastAsia="zh-CN"/>
        </w:rPr>
        <w:t>数据应用</w:t>
      </w:r>
    </w:p>
    <w:p w14:paraId="0A8FE937">
      <w:pPr>
        <w:pStyle w:val="65"/>
        <w:spacing w:before="120" w:after="120"/>
        <w:rPr>
          <w:rFonts w:hint="eastAsia"/>
          <w:lang w:val="en-US" w:eastAsia="zh-CN"/>
        </w:rPr>
      </w:pPr>
      <w:r>
        <w:rPr>
          <w:rFonts w:hint="eastAsia"/>
          <w:lang w:val="en-US" w:eastAsia="zh-CN"/>
        </w:rPr>
        <w:t>内部应用</w:t>
      </w:r>
    </w:p>
    <w:p w14:paraId="39DF273C">
      <w:pPr>
        <w:pStyle w:val="174"/>
        <w:numPr>
          <w:ilvl w:val="0"/>
          <w:numId w:val="46"/>
        </w:numPr>
        <w:rPr>
          <w:rFonts w:hint="eastAsia"/>
        </w:rPr>
      </w:pPr>
      <w:r>
        <w:rPr>
          <w:rFonts w:hint="eastAsia"/>
        </w:rPr>
        <w:t>将碳计量数据作为单位内部碳管理决策的重要依据，用于分析碳排放变化趋势、识别减排潜力、制定减排措施；</w:t>
      </w:r>
    </w:p>
    <w:p w14:paraId="70797FE0">
      <w:pPr>
        <w:pStyle w:val="174"/>
        <w:numPr>
          <w:ilvl w:val="0"/>
          <w:numId w:val="46"/>
        </w:numPr>
        <w:rPr>
          <w:rFonts w:hint="eastAsia"/>
        </w:rPr>
      </w:pPr>
      <w:r>
        <w:rPr>
          <w:rFonts w:hint="eastAsia"/>
        </w:rPr>
        <w:t>纳入内部考核评价体系，将碳计量相关指标（如单位产品碳排放量、减排目标完成率等）分解至各部门和岗位，进行定期考核；</w:t>
      </w:r>
    </w:p>
    <w:p w14:paraId="28C27419">
      <w:pPr>
        <w:pStyle w:val="174"/>
        <w:numPr>
          <w:ilvl w:val="0"/>
          <w:numId w:val="46"/>
        </w:numPr>
        <w:rPr>
          <w:rFonts w:hint="eastAsia"/>
        </w:rPr>
      </w:pPr>
      <w:r>
        <w:rPr>
          <w:rFonts w:hint="eastAsia"/>
        </w:rPr>
        <w:t>为低碳技术改造、清洁能源替代、节能降耗等工作提供数据支撑，评估改造措施的效果。</w:t>
      </w:r>
    </w:p>
    <w:p w14:paraId="4CA84175">
      <w:pPr>
        <w:pStyle w:val="65"/>
        <w:spacing w:before="120" w:after="120"/>
        <w:rPr>
          <w:rFonts w:hint="eastAsia"/>
          <w:lang w:val="en-US" w:eastAsia="zh-CN"/>
        </w:rPr>
      </w:pPr>
      <w:r>
        <w:rPr>
          <w:rFonts w:hint="eastAsia"/>
          <w:lang w:val="en-US" w:eastAsia="zh-CN"/>
        </w:rPr>
        <w:t>外部报告</w:t>
      </w:r>
    </w:p>
    <w:p w14:paraId="7726132C">
      <w:pPr>
        <w:pStyle w:val="56"/>
        <w:ind w:firstLine="420"/>
        <w:rPr>
          <w:rFonts w:hint="eastAsia"/>
        </w:rPr>
      </w:pPr>
      <w:r>
        <w:rPr>
          <w:rFonts w:hint="eastAsia"/>
        </w:rPr>
        <w:t>按照相关法律法规和合规义务的要求，及时、准确地向政府行政主管部门、碳核查机构等相关方提交碳计量数据和温室气体排放报告。报告内容应完整、规范，数据应可追溯至原始采集记录或有资质的第三方机构出具的报告。</w:t>
      </w:r>
    </w:p>
    <w:p w14:paraId="7AB863AF">
      <w:pPr>
        <w:pStyle w:val="105"/>
        <w:spacing w:before="120" w:after="120"/>
        <w:rPr>
          <w:rFonts w:hint="eastAsia"/>
          <w:lang w:val="en-US" w:eastAsia="zh-CN"/>
        </w:rPr>
      </w:pPr>
      <w:r>
        <w:rPr>
          <w:rFonts w:hint="eastAsia"/>
          <w:lang w:val="en-US" w:eastAsia="zh-CN"/>
        </w:rPr>
        <w:t>计量器具全生命周期管理</w:t>
      </w:r>
    </w:p>
    <w:p w14:paraId="620B17CE">
      <w:pPr>
        <w:pStyle w:val="65"/>
        <w:spacing w:before="120" w:after="120"/>
        <w:rPr>
          <w:rFonts w:hint="eastAsia"/>
          <w:lang w:val="en-US" w:eastAsia="zh-CN"/>
        </w:rPr>
      </w:pPr>
      <w:r>
        <w:rPr>
          <w:rFonts w:hint="eastAsia"/>
          <w:lang w:val="en-US" w:eastAsia="zh-CN"/>
        </w:rPr>
        <w:t>申购与验收</w:t>
      </w:r>
    </w:p>
    <w:p w14:paraId="4AC14C5D">
      <w:pPr>
        <w:pStyle w:val="174"/>
        <w:numPr>
          <w:ilvl w:val="0"/>
          <w:numId w:val="47"/>
        </w:numPr>
        <w:rPr>
          <w:rFonts w:hint="eastAsia"/>
        </w:rPr>
      </w:pPr>
      <w:r>
        <w:rPr>
          <w:rFonts w:hint="eastAsia"/>
        </w:rPr>
        <w:t>计量器具申购前，应进行技术论证，确保其符合监测要求和相关标准；</w:t>
      </w:r>
    </w:p>
    <w:p w14:paraId="428D1259">
      <w:pPr>
        <w:pStyle w:val="174"/>
        <w:numPr>
          <w:ilvl w:val="0"/>
          <w:numId w:val="47"/>
        </w:numPr>
        <w:rPr>
          <w:rFonts w:hint="eastAsia"/>
        </w:rPr>
      </w:pPr>
      <w:r>
        <w:rPr>
          <w:rFonts w:hint="eastAsia"/>
        </w:rPr>
        <w:t>计量器具到货后，应组织专业人员进行验收，检查产品合格证、说明书、技术参数等是否符合要求，必要时进行校准或检定，验收合格后方可投入使用。</w:t>
      </w:r>
    </w:p>
    <w:p w14:paraId="4B01BB92">
      <w:pPr>
        <w:pStyle w:val="65"/>
        <w:spacing w:before="120" w:after="120"/>
        <w:rPr>
          <w:rFonts w:hint="eastAsia"/>
          <w:lang w:val="en-US" w:eastAsia="zh-CN"/>
        </w:rPr>
      </w:pPr>
      <w:r>
        <w:rPr>
          <w:rFonts w:hint="eastAsia"/>
          <w:lang w:val="en-US" w:eastAsia="zh-CN"/>
        </w:rPr>
        <w:t>安装与调试</w:t>
      </w:r>
    </w:p>
    <w:p w14:paraId="07D06B5A">
      <w:pPr>
        <w:pStyle w:val="56"/>
        <w:ind w:firstLine="420"/>
        <w:rPr>
          <w:rFonts w:hint="eastAsia"/>
        </w:rPr>
      </w:pPr>
      <w:r>
        <w:rPr>
          <w:rFonts w:hint="eastAsia"/>
        </w:rPr>
        <w:t>计量器具的安装应符合产品说明书和监测计划的要求，确保安装位置合理、安装牢固。安装完成后，应进行调试和试运行，验证其运行正常、测量准确。</w:t>
      </w:r>
    </w:p>
    <w:p w14:paraId="473A35B3">
      <w:pPr>
        <w:pStyle w:val="65"/>
        <w:spacing w:before="120" w:after="120"/>
        <w:rPr>
          <w:rFonts w:hint="eastAsia"/>
          <w:lang w:val="en-US" w:eastAsia="zh-CN"/>
        </w:rPr>
      </w:pPr>
      <w:r>
        <w:rPr>
          <w:rFonts w:hint="eastAsia"/>
          <w:lang w:val="en-US" w:eastAsia="zh-CN"/>
        </w:rPr>
        <w:t>使用与维护</w:t>
      </w:r>
    </w:p>
    <w:p w14:paraId="0D7541BC">
      <w:pPr>
        <w:pStyle w:val="174"/>
        <w:numPr>
          <w:ilvl w:val="0"/>
          <w:numId w:val="48"/>
        </w:numPr>
        <w:rPr>
          <w:rFonts w:hint="eastAsia"/>
        </w:rPr>
      </w:pPr>
      <w:r>
        <w:rPr>
          <w:rFonts w:hint="eastAsia"/>
        </w:rPr>
        <w:t>明确计量器具的使用操作规程，操作人员应经培训合格后方可上岗；</w:t>
      </w:r>
    </w:p>
    <w:p w14:paraId="1BF7E161">
      <w:pPr>
        <w:pStyle w:val="174"/>
        <w:numPr>
          <w:ilvl w:val="0"/>
          <w:numId w:val="48"/>
        </w:numPr>
        <w:rPr>
          <w:rFonts w:hint="eastAsia"/>
        </w:rPr>
      </w:pPr>
      <w:r>
        <w:rPr>
          <w:rFonts w:hint="eastAsia"/>
        </w:rPr>
        <w:t>定期对计量器具进行维护保养，做好维护记录，及时处理运行过程中出现的故障；</w:t>
      </w:r>
    </w:p>
    <w:p w14:paraId="278D693A">
      <w:pPr>
        <w:pStyle w:val="174"/>
        <w:numPr>
          <w:ilvl w:val="0"/>
          <w:numId w:val="48"/>
        </w:numPr>
        <w:rPr>
          <w:rFonts w:hint="eastAsia"/>
        </w:rPr>
      </w:pPr>
      <w:r>
        <w:rPr>
          <w:rFonts w:hint="eastAsia"/>
        </w:rPr>
        <w:t>对影响计量性能的调整装置及软件，严禁擅自改动其铅封、封印及其他保护装置。</w:t>
      </w:r>
    </w:p>
    <w:p w14:paraId="7ABB5815">
      <w:pPr>
        <w:pStyle w:val="65"/>
        <w:spacing w:before="120" w:after="120"/>
        <w:rPr>
          <w:rFonts w:hint="eastAsia"/>
          <w:lang w:val="en-US" w:eastAsia="zh-CN"/>
        </w:rPr>
      </w:pPr>
      <w:r>
        <w:rPr>
          <w:rFonts w:hint="eastAsia"/>
          <w:lang w:val="en-US" w:eastAsia="zh-CN"/>
        </w:rPr>
        <w:t>检定/校准</w:t>
      </w:r>
    </w:p>
    <w:p w14:paraId="53360471">
      <w:pPr>
        <w:pStyle w:val="174"/>
        <w:numPr>
          <w:ilvl w:val="0"/>
          <w:numId w:val="49"/>
        </w:numPr>
        <w:rPr>
          <w:rFonts w:hint="eastAsia"/>
        </w:rPr>
      </w:pPr>
      <w:r>
        <w:rPr>
          <w:rFonts w:hint="eastAsia"/>
        </w:rPr>
        <w:t>制定计量器具检定/校准计划，明确检定/校准的周期、机构和依据的技术规范；</w:t>
      </w:r>
    </w:p>
    <w:p w14:paraId="186FF118">
      <w:pPr>
        <w:pStyle w:val="174"/>
        <w:numPr>
          <w:ilvl w:val="0"/>
          <w:numId w:val="49"/>
        </w:numPr>
        <w:rPr>
          <w:rFonts w:hint="eastAsia"/>
        </w:rPr>
      </w:pPr>
      <w:r>
        <w:rPr>
          <w:rFonts w:hint="eastAsia"/>
        </w:rPr>
        <w:t>属于强制检定范围的计量器具，应向政府计量行政部门登记备案，并送指定的计量技术机构进行检定；</w:t>
      </w:r>
    </w:p>
    <w:p w14:paraId="151C613D">
      <w:pPr>
        <w:pStyle w:val="174"/>
        <w:numPr>
          <w:ilvl w:val="0"/>
          <w:numId w:val="49"/>
        </w:numPr>
        <w:rPr>
          <w:rFonts w:hint="eastAsia"/>
        </w:rPr>
      </w:pPr>
      <w:r>
        <w:rPr>
          <w:rFonts w:hint="eastAsia"/>
        </w:rPr>
        <w:t>属于非强制检定的计量器具，可由具备资质的第三方计量技术机构或本单位内部建立计量标准的部门进行检定/校准；</w:t>
      </w:r>
    </w:p>
    <w:p w14:paraId="43BF1F0E">
      <w:pPr>
        <w:pStyle w:val="174"/>
        <w:numPr>
          <w:ilvl w:val="0"/>
          <w:numId w:val="49"/>
        </w:numPr>
        <w:rPr>
          <w:rFonts w:hint="eastAsia"/>
        </w:rPr>
      </w:pPr>
      <w:r>
        <w:rPr>
          <w:rFonts w:hint="eastAsia"/>
        </w:rPr>
        <w:t>对无法拆卸、无检定规程或校准规范的计量器具，应采取自校、比对、定期更换等可行措施，确保其量值准确可靠，并制定相应的控制文件作为依据；</w:t>
      </w:r>
    </w:p>
    <w:p w14:paraId="7CEAD5B3">
      <w:pPr>
        <w:pStyle w:val="174"/>
        <w:numPr>
          <w:ilvl w:val="0"/>
          <w:numId w:val="49"/>
        </w:numPr>
        <w:rPr>
          <w:rFonts w:hint="eastAsia"/>
        </w:rPr>
      </w:pPr>
      <w:r>
        <w:rPr>
          <w:rFonts w:hint="eastAsia"/>
        </w:rPr>
        <w:t>检定/校准完成后，应及时获取检定/校准证书，并对结果进行确认。确认合格的，方可继续使用；不合格的，应按规定进行处置。</w:t>
      </w:r>
    </w:p>
    <w:p w14:paraId="7CD831BA">
      <w:pPr>
        <w:pStyle w:val="65"/>
        <w:spacing w:before="120" w:after="120"/>
        <w:rPr>
          <w:rFonts w:hint="eastAsia"/>
          <w:lang w:val="en-US" w:eastAsia="zh-CN"/>
        </w:rPr>
      </w:pPr>
      <w:r>
        <w:rPr>
          <w:rFonts w:hint="eastAsia"/>
          <w:lang w:val="en-US" w:eastAsia="zh-CN"/>
        </w:rPr>
        <w:t>报废</w:t>
      </w:r>
    </w:p>
    <w:p w14:paraId="152CAB7B">
      <w:pPr>
        <w:pStyle w:val="56"/>
        <w:ind w:firstLine="420"/>
        <w:rPr>
          <w:rFonts w:hint="eastAsia"/>
        </w:rPr>
      </w:pPr>
      <w:r>
        <w:rPr>
          <w:rFonts w:hint="eastAsia"/>
        </w:rPr>
        <w:t>当计量器具达到使用年限、损坏无法修复、技术落后无法满足监测要求或检定/校准不合格且无法整改时，应按规定程序进行报废处理。报废前，应进行登记备案，明确报废原因；报废后，应及时从计量器具台帐中注销，并妥善处置报废器具，防止其流入市场被误用。</w:t>
      </w:r>
    </w:p>
    <w:p w14:paraId="52191E64">
      <w:pPr>
        <w:pStyle w:val="105"/>
        <w:spacing w:before="120" w:after="120"/>
        <w:rPr>
          <w:rFonts w:hint="eastAsia"/>
          <w:lang w:val="en-US" w:eastAsia="zh-CN"/>
        </w:rPr>
      </w:pPr>
      <w:r>
        <w:rPr>
          <w:rFonts w:hint="eastAsia"/>
          <w:lang w:val="en-US" w:eastAsia="zh-CN"/>
        </w:rPr>
        <w:t>外部供方管理</w:t>
      </w:r>
    </w:p>
    <w:p w14:paraId="2D846BB2">
      <w:pPr>
        <w:pStyle w:val="65"/>
        <w:spacing w:before="120" w:after="120"/>
        <w:rPr>
          <w:rFonts w:hint="eastAsia"/>
          <w:lang w:val="en-US" w:eastAsia="zh-CN"/>
        </w:rPr>
      </w:pPr>
      <w:r>
        <w:rPr>
          <w:rFonts w:hint="eastAsia"/>
          <w:lang w:val="en-US" w:eastAsia="zh-CN"/>
        </w:rPr>
        <w:t>供方选择</w:t>
      </w:r>
    </w:p>
    <w:p w14:paraId="3A83669D">
      <w:pPr>
        <w:pStyle w:val="56"/>
        <w:ind w:firstLine="420"/>
        <w:rPr>
          <w:rFonts w:hint="eastAsia"/>
        </w:rPr>
      </w:pPr>
      <w:r>
        <w:rPr>
          <w:rFonts w:hint="eastAsia"/>
        </w:rPr>
        <w:t>重点排放单位应建立外部供方评价和选择机制，对碳计量器具供应商、安装维护服务商、检定/校准机构、第三方公正计量机构等外部供方进行严格筛选。选择标准应包括供方的资质、技术能力、服务质量、信誉、价格等方面。</w:t>
      </w:r>
    </w:p>
    <w:p w14:paraId="429155EA">
      <w:pPr>
        <w:pStyle w:val="65"/>
        <w:spacing w:before="120" w:after="120"/>
        <w:rPr>
          <w:rFonts w:hint="eastAsia"/>
          <w:lang w:val="en-US" w:eastAsia="zh-CN"/>
        </w:rPr>
      </w:pPr>
      <w:r>
        <w:rPr>
          <w:rFonts w:hint="eastAsia"/>
          <w:lang w:val="en-US" w:eastAsia="zh-CN"/>
        </w:rPr>
        <w:t>供方评价与控制</w:t>
      </w:r>
    </w:p>
    <w:p w14:paraId="654C43A9">
      <w:pPr>
        <w:pStyle w:val="174"/>
        <w:numPr>
          <w:ilvl w:val="0"/>
          <w:numId w:val="50"/>
        </w:numPr>
        <w:rPr>
          <w:rFonts w:hint="eastAsia"/>
        </w:rPr>
      </w:pPr>
      <w:r>
        <w:rPr>
          <w:rFonts w:hint="eastAsia"/>
        </w:rPr>
        <w:t>对潜在供方进行前期评价，核实其资质证书、业绩证明、技术方案等资料；</w:t>
      </w:r>
    </w:p>
    <w:p w14:paraId="40DAD6DB">
      <w:pPr>
        <w:pStyle w:val="174"/>
        <w:numPr>
          <w:ilvl w:val="0"/>
          <w:numId w:val="50"/>
        </w:numPr>
        <w:rPr>
          <w:rFonts w:hint="eastAsia"/>
        </w:rPr>
      </w:pPr>
      <w:r>
        <w:rPr>
          <w:rFonts w:hint="eastAsia"/>
        </w:rPr>
        <w:t>与选定的供方签订正式合同，明确双方的权利和义务，包括产品质量要求、服务内容、服务期限、数据质量承诺、保密条款等；</w:t>
      </w:r>
    </w:p>
    <w:p w14:paraId="3B61DE60">
      <w:pPr>
        <w:pStyle w:val="174"/>
        <w:numPr>
          <w:ilvl w:val="0"/>
          <w:numId w:val="50"/>
        </w:numPr>
        <w:rPr>
          <w:rFonts w:hint="eastAsia"/>
        </w:rPr>
      </w:pPr>
      <w:r>
        <w:rPr>
          <w:rFonts w:hint="eastAsia"/>
        </w:rPr>
        <w:t>对供方的服务过程和结果进行持续监控和评价，定期（至少每年一次）开展供方绩效评价，记录评价结果；</w:t>
      </w:r>
    </w:p>
    <w:p w14:paraId="39E33FD0">
      <w:pPr>
        <w:pStyle w:val="174"/>
        <w:numPr>
          <w:ilvl w:val="0"/>
          <w:numId w:val="50"/>
        </w:numPr>
        <w:rPr>
          <w:rFonts w:hint="eastAsia"/>
        </w:rPr>
      </w:pPr>
      <w:r>
        <w:rPr>
          <w:rFonts w:hint="eastAsia"/>
        </w:rPr>
        <w:t>对评价不合格的供方，应及时采取暂停合作、要求整改或终止合作等措施。</w:t>
      </w:r>
    </w:p>
    <w:p w14:paraId="00041BB5">
      <w:pPr>
        <w:pStyle w:val="65"/>
        <w:spacing w:before="120" w:after="120"/>
        <w:rPr>
          <w:rFonts w:hint="eastAsia"/>
          <w:lang w:val="en-US" w:eastAsia="zh-CN"/>
        </w:rPr>
      </w:pPr>
      <w:r>
        <w:rPr>
          <w:rFonts w:hint="eastAsia"/>
          <w:lang w:val="en-US" w:eastAsia="zh-CN"/>
        </w:rPr>
        <w:t>记录管理</w:t>
      </w:r>
    </w:p>
    <w:p w14:paraId="685F451B">
      <w:pPr>
        <w:pStyle w:val="56"/>
        <w:ind w:firstLine="420"/>
        <w:rPr>
          <w:rFonts w:hint="eastAsia"/>
        </w:rPr>
      </w:pPr>
      <w:r>
        <w:rPr>
          <w:rFonts w:hint="eastAsia"/>
        </w:rPr>
        <w:t>妥善保存外部供方的评价记录、合同文件、服务报告、绩效评价报告等相关资料，保存期限不低于3年。</w:t>
      </w:r>
    </w:p>
    <w:p w14:paraId="57DC042A">
      <w:pPr>
        <w:pStyle w:val="105"/>
        <w:spacing w:before="120" w:after="120"/>
        <w:rPr>
          <w:rFonts w:hint="eastAsia"/>
          <w:lang w:val="en-US" w:eastAsia="zh-CN"/>
        </w:rPr>
      </w:pPr>
      <w:r>
        <w:rPr>
          <w:rFonts w:hint="eastAsia"/>
          <w:lang w:val="en-US" w:eastAsia="zh-CN"/>
        </w:rPr>
        <w:t>变更管理</w:t>
      </w:r>
    </w:p>
    <w:p w14:paraId="7DDD4BCA">
      <w:pPr>
        <w:pStyle w:val="65"/>
        <w:spacing w:before="120" w:after="120"/>
        <w:rPr>
          <w:rFonts w:hint="eastAsia"/>
          <w:lang w:val="en-US" w:eastAsia="zh-CN"/>
        </w:rPr>
      </w:pPr>
      <w:r>
        <w:rPr>
          <w:rFonts w:hint="eastAsia"/>
          <w:lang w:val="en-US" w:eastAsia="zh-CN"/>
        </w:rPr>
        <w:t>变更识别</w:t>
      </w:r>
    </w:p>
    <w:p w14:paraId="18D2E591">
      <w:pPr>
        <w:pStyle w:val="174"/>
        <w:numPr>
          <w:ilvl w:val="0"/>
          <w:numId w:val="0"/>
        </w:numPr>
        <w:ind w:left="425" w:leftChars="0"/>
        <w:rPr>
          <w:rFonts w:hint="eastAsia"/>
          <w:lang w:val="en-US" w:eastAsia="zh-CN"/>
        </w:rPr>
      </w:pPr>
      <w:r>
        <w:rPr>
          <w:rFonts w:hint="eastAsia"/>
          <w:lang w:val="en-US" w:eastAsia="zh-CN"/>
        </w:rPr>
        <w:t>重点排放单位应建立变更识别机制，及时识别碳计量管理体系运行过程中可能发生的变更，包括：</w:t>
      </w:r>
    </w:p>
    <w:p w14:paraId="786DDD48">
      <w:pPr>
        <w:pStyle w:val="174"/>
        <w:numPr>
          <w:ilvl w:val="0"/>
          <w:numId w:val="51"/>
        </w:numPr>
        <w:rPr>
          <w:rFonts w:hint="eastAsia"/>
        </w:rPr>
      </w:pPr>
      <w:r>
        <w:rPr>
          <w:rFonts w:hint="eastAsia"/>
        </w:rPr>
        <w:t>组织架构变更：如碳计量管理机构调整、职责分工变化等；</w:t>
      </w:r>
    </w:p>
    <w:p w14:paraId="2BD4294E">
      <w:pPr>
        <w:pStyle w:val="174"/>
        <w:numPr>
          <w:ilvl w:val="0"/>
          <w:numId w:val="51"/>
        </w:numPr>
        <w:rPr>
          <w:rFonts w:hint="eastAsia"/>
        </w:rPr>
      </w:pPr>
      <w:r>
        <w:rPr>
          <w:rFonts w:hint="eastAsia"/>
        </w:rPr>
        <w:t>合规义务变更：如法律法规、标准规范更新等；</w:t>
      </w:r>
    </w:p>
    <w:p w14:paraId="547DDED2">
      <w:pPr>
        <w:pStyle w:val="174"/>
        <w:numPr>
          <w:ilvl w:val="0"/>
          <w:numId w:val="51"/>
        </w:numPr>
        <w:rPr>
          <w:rFonts w:hint="eastAsia"/>
        </w:rPr>
      </w:pPr>
      <w:r>
        <w:rPr>
          <w:rFonts w:hint="eastAsia"/>
        </w:rPr>
        <w:t>生产工艺变更：如新增或淘汰生产装置、生产规模调整、原料替代等；</w:t>
      </w:r>
    </w:p>
    <w:p w14:paraId="2A01DA4F">
      <w:pPr>
        <w:pStyle w:val="174"/>
        <w:numPr>
          <w:ilvl w:val="0"/>
          <w:numId w:val="51"/>
        </w:numPr>
        <w:rPr>
          <w:rFonts w:hint="eastAsia"/>
        </w:rPr>
      </w:pPr>
      <w:r>
        <w:rPr>
          <w:rFonts w:hint="eastAsia"/>
        </w:rPr>
        <w:t>计量器具变更：如计量器具更新换代、安装位置调整等；</w:t>
      </w:r>
    </w:p>
    <w:p w14:paraId="1A0B1E17">
      <w:pPr>
        <w:pStyle w:val="174"/>
        <w:numPr>
          <w:ilvl w:val="0"/>
          <w:numId w:val="51"/>
        </w:numPr>
        <w:rPr>
          <w:rFonts w:hint="eastAsia"/>
        </w:rPr>
      </w:pPr>
      <w:r>
        <w:rPr>
          <w:rFonts w:hint="eastAsia"/>
        </w:rPr>
        <w:t>其他可能影响碳计量数据质量或体系运行的变更。</w:t>
      </w:r>
    </w:p>
    <w:p w14:paraId="7D8F4D2A">
      <w:pPr>
        <w:pStyle w:val="65"/>
        <w:spacing w:before="120" w:after="120"/>
        <w:rPr>
          <w:rFonts w:hint="eastAsia"/>
          <w:lang w:val="en-US" w:eastAsia="zh-CN"/>
        </w:rPr>
      </w:pPr>
      <w:r>
        <w:rPr>
          <w:rFonts w:hint="eastAsia"/>
          <w:lang w:val="en-US" w:eastAsia="zh-CN"/>
        </w:rPr>
        <w:t>变更评审与控制</w:t>
      </w:r>
    </w:p>
    <w:p w14:paraId="36D0A2CA">
      <w:pPr>
        <w:pStyle w:val="174"/>
        <w:numPr>
          <w:ilvl w:val="0"/>
          <w:numId w:val="52"/>
        </w:numPr>
        <w:rPr>
          <w:rFonts w:hint="eastAsia"/>
        </w:rPr>
      </w:pPr>
      <w:r>
        <w:rPr>
          <w:rFonts w:hint="eastAsia"/>
        </w:rPr>
        <w:t>对识别出的变更，应由碳计量主管部门组织相关部门进行评审，评估变更对碳计量目标、制度文件、计量器具、数据质量等方面的影响；</w:t>
      </w:r>
    </w:p>
    <w:p w14:paraId="19DDE877">
      <w:pPr>
        <w:pStyle w:val="174"/>
        <w:numPr>
          <w:ilvl w:val="0"/>
          <w:numId w:val="52"/>
        </w:numPr>
        <w:rPr>
          <w:rFonts w:hint="eastAsia"/>
        </w:rPr>
      </w:pPr>
      <w:r>
        <w:rPr>
          <w:rFonts w:hint="eastAsia"/>
        </w:rPr>
        <w:t>根据评审结果，制定相应的控制措施，明确变更实施的责任部门、时间节点和要求；</w:t>
      </w:r>
    </w:p>
    <w:p w14:paraId="4B97D6BB">
      <w:pPr>
        <w:pStyle w:val="174"/>
        <w:numPr>
          <w:ilvl w:val="0"/>
          <w:numId w:val="52"/>
        </w:numPr>
        <w:rPr>
          <w:rFonts w:hint="eastAsia"/>
        </w:rPr>
      </w:pPr>
      <w:r>
        <w:rPr>
          <w:rFonts w:hint="eastAsia"/>
        </w:rPr>
        <w:t>变更实施后，应及时更新相关的制度文件、监测计划、计量器具台帐等，并对相关人员进行培训，确保其理解和掌握变更内容；</w:t>
      </w:r>
    </w:p>
    <w:p w14:paraId="2867F490">
      <w:pPr>
        <w:pStyle w:val="174"/>
        <w:numPr>
          <w:ilvl w:val="0"/>
          <w:numId w:val="52"/>
        </w:numPr>
        <w:rPr>
          <w:rFonts w:hint="eastAsia"/>
        </w:rPr>
      </w:pPr>
      <w:r>
        <w:rPr>
          <w:rFonts w:hint="eastAsia"/>
        </w:rPr>
        <w:t>对变更实施效果进行验证，确保变更未对碳计量管理体系的有效性产生不利影响。</w:t>
      </w:r>
    </w:p>
    <w:p w14:paraId="430A725A">
      <w:pPr>
        <w:pStyle w:val="104"/>
        <w:spacing w:before="240" w:after="240"/>
        <w:rPr>
          <w:rFonts w:hint="eastAsia"/>
          <w:lang w:val="en-US" w:eastAsia="zh-CN"/>
        </w:rPr>
      </w:pPr>
      <w:bookmarkStart w:id="56" w:name="_Toc30698"/>
      <w:r>
        <w:rPr>
          <w:rFonts w:hint="eastAsia"/>
          <w:lang w:val="en-US" w:eastAsia="zh-CN"/>
        </w:rPr>
        <w:t>监督评价</w:t>
      </w:r>
      <w:bookmarkEnd w:id="56"/>
    </w:p>
    <w:p w14:paraId="3F192A4B">
      <w:pPr>
        <w:pStyle w:val="105"/>
        <w:spacing w:before="120" w:after="120"/>
        <w:rPr>
          <w:rFonts w:hint="eastAsia"/>
          <w:lang w:val="en-US" w:eastAsia="zh-CN"/>
        </w:rPr>
      </w:pPr>
      <w:r>
        <w:rPr>
          <w:rFonts w:hint="eastAsia"/>
          <w:lang w:val="en-US" w:eastAsia="zh-CN"/>
        </w:rPr>
        <w:t>日常监督</w:t>
      </w:r>
    </w:p>
    <w:p w14:paraId="4B2A5E46">
      <w:pPr>
        <w:pStyle w:val="65"/>
        <w:spacing w:before="120" w:after="120"/>
        <w:rPr>
          <w:rFonts w:hint="eastAsia"/>
          <w:lang w:val="en-US" w:eastAsia="zh-CN"/>
        </w:rPr>
      </w:pPr>
      <w:r>
        <w:rPr>
          <w:rFonts w:hint="eastAsia"/>
          <w:lang w:val="en-US" w:eastAsia="zh-CN"/>
        </w:rPr>
        <w:t>监督内容</w:t>
      </w:r>
    </w:p>
    <w:p w14:paraId="53BD5D10">
      <w:pPr>
        <w:pStyle w:val="174"/>
        <w:numPr>
          <w:ilvl w:val="0"/>
          <w:numId w:val="0"/>
        </w:numPr>
        <w:ind w:left="425" w:leftChars="0"/>
        <w:rPr>
          <w:rFonts w:hint="eastAsia"/>
          <w:lang w:val="en-US" w:eastAsia="zh-CN"/>
        </w:rPr>
      </w:pPr>
      <w:r>
        <w:rPr>
          <w:rFonts w:hint="eastAsia"/>
          <w:lang w:val="en-US" w:eastAsia="zh-CN"/>
        </w:rPr>
        <w:t>碳计量主管部门应定期开展日常监督检查，监督内容包括：</w:t>
      </w:r>
    </w:p>
    <w:p w14:paraId="06B7F369">
      <w:pPr>
        <w:pStyle w:val="174"/>
        <w:numPr>
          <w:ilvl w:val="0"/>
          <w:numId w:val="53"/>
        </w:numPr>
        <w:rPr>
          <w:rFonts w:hint="eastAsia"/>
        </w:rPr>
      </w:pPr>
      <w:r>
        <w:rPr>
          <w:rFonts w:hint="eastAsia"/>
        </w:rPr>
        <w:t>碳计量目标的完成情况；</w:t>
      </w:r>
    </w:p>
    <w:p w14:paraId="70F39A53">
      <w:pPr>
        <w:pStyle w:val="174"/>
        <w:numPr>
          <w:ilvl w:val="0"/>
          <w:numId w:val="53"/>
        </w:numPr>
        <w:rPr>
          <w:rFonts w:hint="eastAsia"/>
        </w:rPr>
      </w:pPr>
      <w:r>
        <w:rPr>
          <w:rFonts w:hint="eastAsia"/>
        </w:rPr>
        <w:t>制度文件的执行情况；</w:t>
      </w:r>
    </w:p>
    <w:p w14:paraId="738FC083">
      <w:pPr>
        <w:pStyle w:val="174"/>
        <w:numPr>
          <w:ilvl w:val="0"/>
          <w:numId w:val="53"/>
        </w:numPr>
        <w:rPr>
          <w:rFonts w:hint="eastAsia"/>
        </w:rPr>
      </w:pPr>
      <w:r>
        <w:rPr>
          <w:rFonts w:hint="eastAsia"/>
        </w:rPr>
        <w:t>计量器具的配备、使用、维护、检定/校准等管理情况；</w:t>
      </w:r>
    </w:p>
    <w:p w14:paraId="24EAE9C8">
      <w:pPr>
        <w:pStyle w:val="174"/>
        <w:numPr>
          <w:ilvl w:val="0"/>
          <w:numId w:val="53"/>
        </w:numPr>
        <w:rPr>
          <w:rFonts w:hint="eastAsia"/>
        </w:rPr>
      </w:pPr>
      <w:r>
        <w:rPr>
          <w:rFonts w:hint="eastAsia"/>
        </w:rPr>
        <w:t>数据采集、处理、统计、分析、报告等流程的规范性；</w:t>
      </w:r>
    </w:p>
    <w:p w14:paraId="17A6A510">
      <w:pPr>
        <w:pStyle w:val="174"/>
        <w:numPr>
          <w:ilvl w:val="0"/>
          <w:numId w:val="53"/>
        </w:numPr>
        <w:rPr>
          <w:rFonts w:hint="eastAsia"/>
        </w:rPr>
      </w:pPr>
      <w:r>
        <w:rPr>
          <w:rFonts w:hint="eastAsia"/>
        </w:rPr>
        <w:t>人员岗位职责履行情况和专业能力水平；</w:t>
      </w:r>
    </w:p>
    <w:p w14:paraId="735DED10">
      <w:pPr>
        <w:pStyle w:val="174"/>
        <w:numPr>
          <w:ilvl w:val="0"/>
          <w:numId w:val="53"/>
        </w:numPr>
        <w:rPr>
          <w:rFonts w:hint="eastAsia"/>
        </w:rPr>
      </w:pPr>
      <w:r>
        <w:rPr>
          <w:rFonts w:hint="eastAsia"/>
        </w:rPr>
        <w:t>外部供方服务质量情况。</w:t>
      </w:r>
    </w:p>
    <w:p w14:paraId="66178BDF">
      <w:pPr>
        <w:pStyle w:val="65"/>
        <w:spacing w:before="120" w:after="120"/>
        <w:rPr>
          <w:rFonts w:hint="eastAsia"/>
          <w:lang w:val="en-US" w:eastAsia="zh-CN"/>
        </w:rPr>
      </w:pPr>
      <w:r>
        <w:rPr>
          <w:rFonts w:hint="eastAsia"/>
          <w:lang w:val="en-US" w:eastAsia="zh-CN"/>
        </w:rPr>
        <w:t>监督频次与方法</w:t>
      </w:r>
    </w:p>
    <w:p w14:paraId="0677201C">
      <w:pPr>
        <w:pStyle w:val="56"/>
        <w:ind w:firstLine="420"/>
        <w:rPr>
          <w:rFonts w:hint="eastAsia"/>
        </w:rPr>
      </w:pPr>
      <w:r>
        <w:rPr>
          <w:rFonts w:hint="eastAsia"/>
        </w:rPr>
        <w:t>日常监督应至少每季度开展一次，可采用现场检查、资料查阅、数据复核、人员访谈等多种方式进行。对重点排放源、关键计量器具和重要数据处理环节，应增加监督频次。</w:t>
      </w:r>
    </w:p>
    <w:p w14:paraId="1776421E">
      <w:pPr>
        <w:pStyle w:val="65"/>
        <w:spacing w:before="120" w:after="120"/>
        <w:rPr>
          <w:rFonts w:hint="eastAsia"/>
          <w:lang w:val="en-US" w:eastAsia="zh-CN"/>
        </w:rPr>
      </w:pPr>
      <w:r>
        <w:rPr>
          <w:rFonts w:hint="eastAsia"/>
          <w:lang w:val="en-US" w:eastAsia="zh-CN"/>
        </w:rPr>
        <w:t>监督结果处理</w:t>
      </w:r>
    </w:p>
    <w:p w14:paraId="2234B48C">
      <w:pPr>
        <w:pStyle w:val="56"/>
        <w:ind w:firstLine="420"/>
        <w:rPr>
          <w:rFonts w:hint="eastAsia"/>
        </w:rPr>
      </w:pPr>
      <w:r>
        <w:rPr>
          <w:rFonts w:hint="eastAsia"/>
        </w:rPr>
        <w:t>对日常监督中发现的问题，应及时向相关责任部门和人员反馈，要求限期整改。跟踪整改落实情况，验证整改效果，并做好监督记录和整改记录。</w:t>
      </w:r>
    </w:p>
    <w:p w14:paraId="2CF7B92B">
      <w:pPr>
        <w:pStyle w:val="105"/>
        <w:spacing w:before="120" w:after="120"/>
        <w:rPr>
          <w:rFonts w:hint="eastAsia"/>
          <w:lang w:val="en-US" w:eastAsia="zh-CN"/>
        </w:rPr>
      </w:pPr>
      <w:r>
        <w:rPr>
          <w:rFonts w:hint="eastAsia"/>
          <w:lang w:val="en-US" w:eastAsia="zh-CN"/>
        </w:rPr>
        <w:t>内部审核</w:t>
      </w:r>
    </w:p>
    <w:p w14:paraId="41859BCF">
      <w:pPr>
        <w:pStyle w:val="65"/>
        <w:spacing w:before="120" w:after="120"/>
        <w:rPr>
          <w:rFonts w:hint="eastAsia"/>
          <w:lang w:val="en-US" w:eastAsia="zh-CN"/>
        </w:rPr>
      </w:pPr>
      <w:r>
        <w:rPr>
          <w:rFonts w:hint="eastAsia"/>
          <w:lang w:val="en-US" w:eastAsia="zh-CN"/>
        </w:rPr>
        <w:t>审核计划</w:t>
      </w:r>
    </w:p>
    <w:p w14:paraId="78765CA5">
      <w:pPr>
        <w:pStyle w:val="56"/>
        <w:ind w:firstLine="420"/>
        <w:rPr>
          <w:rFonts w:hint="eastAsia"/>
        </w:rPr>
      </w:pPr>
      <w:r>
        <w:rPr>
          <w:rFonts w:hint="eastAsia"/>
        </w:rPr>
        <w:t>重点排放单位应制定年度内部审核计划，明确审核的目的、范围、频次、准则、方法及时间安排。内部审核应至少每年开展一次，覆盖碳计量管理体系的所有要素和相关部门、岗位。当发生重大变更、出现严重不符合项或外部相关方有特殊要求时，应增加审核频次。</w:t>
      </w:r>
    </w:p>
    <w:p w14:paraId="328744FB">
      <w:pPr>
        <w:pStyle w:val="65"/>
        <w:spacing w:before="120" w:after="120"/>
        <w:rPr>
          <w:rFonts w:hint="eastAsia"/>
          <w:lang w:val="en-US" w:eastAsia="zh-CN"/>
        </w:rPr>
      </w:pPr>
      <w:r>
        <w:rPr>
          <w:rFonts w:hint="eastAsia"/>
          <w:lang w:val="en-US" w:eastAsia="zh-CN"/>
        </w:rPr>
        <w:t>审核实施</w:t>
      </w:r>
    </w:p>
    <w:p w14:paraId="4B4D54FC">
      <w:pPr>
        <w:pStyle w:val="174"/>
        <w:numPr>
          <w:ilvl w:val="0"/>
          <w:numId w:val="54"/>
        </w:numPr>
        <w:rPr>
          <w:rFonts w:hint="eastAsia"/>
        </w:rPr>
      </w:pPr>
      <w:r>
        <w:rPr>
          <w:rFonts w:hint="eastAsia"/>
        </w:rPr>
        <w:t>成立内部审核组，审核组成员应具备相应的专业能力和独立性，不得审核本人负责的工作；</w:t>
      </w:r>
    </w:p>
    <w:p w14:paraId="16B25987">
      <w:pPr>
        <w:pStyle w:val="174"/>
        <w:numPr>
          <w:ilvl w:val="0"/>
          <w:numId w:val="54"/>
        </w:numPr>
        <w:rPr>
          <w:rFonts w:hint="eastAsia"/>
        </w:rPr>
      </w:pPr>
      <w:r>
        <w:rPr>
          <w:rFonts w:hint="eastAsia"/>
        </w:rPr>
        <w:t>审核组按照审核计划和审核准则，通过查阅文件、现场检查、交谈询问、数据验证等方式收集审核证据；</w:t>
      </w:r>
    </w:p>
    <w:p w14:paraId="3697C649">
      <w:pPr>
        <w:pStyle w:val="174"/>
        <w:numPr>
          <w:ilvl w:val="0"/>
          <w:numId w:val="54"/>
        </w:numPr>
        <w:rPr>
          <w:rFonts w:hint="eastAsia"/>
        </w:rPr>
      </w:pPr>
      <w:r>
        <w:rPr>
          <w:rFonts w:hint="eastAsia"/>
        </w:rPr>
        <w:t>对审核中发现的不符合项，应明确不符合的事实、依据、严重程度，并与相关责任部门确认。</w:t>
      </w:r>
    </w:p>
    <w:p w14:paraId="29A5DFF1">
      <w:pPr>
        <w:pStyle w:val="65"/>
        <w:spacing w:before="120" w:after="120"/>
        <w:rPr>
          <w:rFonts w:hint="eastAsia"/>
          <w:lang w:val="en-US" w:eastAsia="zh-CN"/>
        </w:rPr>
      </w:pPr>
      <w:r>
        <w:rPr>
          <w:rFonts w:hint="eastAsia"/>
          <w:lang w:val="en-US" w:eastAsia="zh-CN"/>
        </w:rPr>
        <w:t>审核报告</w:t>
      </w:r>
    </w:p>
    <w:p w14:paraId="2BFE82D5">
      <w:pPr>
        <w:pStyle w:val="56"/>
        <w:ind w:firstLine="420"/>
        <w:rPr>
          <w:rFonts w:hint="eastAsia"/>
        </w:rPr>
      </w:pPr>
      <w:r>
        <w:rPr>
          <w:rFonts w:hint="eastAsia"/>
        </w:rPr>
        <w:t>审核结束后，应编制内部审核报告，内容包括审核概况、审核结果、不符合项清单、原因分析、纠正措施建议及审核结论等。审核报告应提交给碳计量工作负责人审批，并分发至相关部门。</w:t>
      </w:r>
    </w:p>
    <w:p w14:paraId="43761F24">
      <w:pPr>
        <w:pStyle w:val="65"/>
        <w:spacing w:before="120" w:after="120"/>
        <w:rPr>
          <w:rFonts w:hint="eastAsia"/>
          <w:lang w:val="en-US" w:eastAsia="zh-CN"/>
        </w:rPr>
      </w:pPr>
      <w:r>
        <w:rPr>
          <w:rFonts w:hint="eastAsia"/>
          <w:lang w:val="en-US" w:eastAsia="zh-CN"/>
        </w:rPr>
        <w:t>纠正措施跟踪</w:t>
      </w:r>
    </w:p>
    <w:p w14:paraId="18F01326">
      <w:pPr>
        <w:pStyle w:val="56"/>
        <w:ind w:firstLine="420"/>
        <w:rPr>
          <w:rFonts w:hint="eastAsia"/>
        </w:rPr>
      </w:pPr>
      <w:r>
        <w:rPr>
          <w:rFonts w:hint="eastAsia"/>
        </w:rPr>
        <w:t>相关责任部门应针对不符合项制定并实施纠正措施，审核组负责对纠正措施的实施情况和效果进行跟踪验证，确保不符合项得到有效整改。</w:t>
      </w:r>
    </w:p>
    <w:p w14:paraId="401DAC0C">
      <w:pPr>
        <w:pStyle w:val="105"/>
        <w:spacing w:before="120" w:after="120"/>
        <w:rPr>
          <w:rFonts w:hint="eastAsia"/>
          <w:lang w:val="en-US" w:eastAsia="zh-CN"/>
        </w:rPr>
      </w:pPr>
      <w:r>
        <w:rPr>
          <w:rFonts w:hint="eastAsia"/>
          <w:lang w:val="en-US" w:eastAsia="zh-CN"/>
        </w:rPr>
        <w:t>管理评审</w:t>
      </w:r>
    </w:p>
    <w:p w14:paraId="07B0572F">
      <w:pPr>
        <w:pStyle w:val="65"/>
        <w:spacing w:before="120" w:after="120"/>
        <w:rPr>
          <w:rFonts w:hint="eastAsia"/>
          <w:lang w:val="en-US" w:eastAsia="zh-CN"/>
        </w:rPr>
      </w:pPr>
      <w:r>
        <w:rPr>
          <w:rFonts w:hint="eastAsia"/>
          <w:lang w:val="en-US" w:eastAsia="zh-CN"/>
        </w:rPr>
        <w:t>评审计划</w:t>
      </w:r>
    </w:p>
    <w:p w14:paraId="3A1D3289">
      <w:pPr>
        <w:pStyle w:val="56"/>
        <w:ind w:firstLine="420"/>
        <w:rPr>
          <w:rFonts w:hint="eastAsia"/>
        </w:rPr>
      </w:pPr>
      <w:r>
        <w:rPr>
          <w:rFonts w:hint="eastAsia"/>
        </w:rPr>
        <w:t>重点排放单位应每年至少开展一次管理评审，由碳计量工作负责人组织，相关部门负责人参加。管理评审可与单位的其他管理体系评审结合进行，也可单独开展。评审前应制定评审计划，明确评审的目的、范围、内容、时间和参与人员。</w:t>
      </w:r>
    </w:p>
    <w:p w14:paraId="5654BA30">
      <w:pPr>
        <w:pStyle w:val="65"/>
        <w:spacing w:before="120" w:after="120"/>
        <w:rPr>
          <w:rFonts w:hint="eastAsia"/>
          <w:lang w:val="en-US" w:eastAsia="zh-CN"/>
        </w:rPr>
      </w:pPr>
      <w:r>
        <w:rPr>
          <w:rFonts w:hint="eastAsia"/>
          <w:lang w:val="en-US" w:eastAsia="zh-CN"/>
        </w:rPr>
        <w:t>评审内容</w:t>
      </w:r>
    </w:p>
    <w:p w14:paraId="15800C2A">
      <w:pPr>
        <w:pStyle w:val="174"/>
        <w:numPr>
          <w:ilvl w:val="0"/>
          <w:numId w:val="0"/>
        </w:numPr>
        <w:ind w:left="425" w:leftChars="0"/>
        <w:rPr>
          <w:rFonts w:hint="eastAsia"/>
          <w:lang w:val="en-US" w:eastAsia="zh-CN"/>
        </w:rPr>
      </w:pPr>
      <w:r>
        <w:rPr>
          <w:rFonts w:hint="eastAsia"/>
          <w:lang w:val="en-US" w:eastAsia="zh-CN"/>
        </w:rPr>
        <w:t>管理评审应重点关注以下内容：</w:t>
      </w:r>
    </w:p>
    <w:p w14:paraId="7C44490D">
      <w:pPr>
        <w:pStyle w:val="174"/>
        <w:numPr>
          <w:ilvl w:val="0"/>
          <w:numId w:val="55"/>
        </w:numPr>
        <w:rPr>
          <w:rFonts w:hint="eastAsia"/>
        </w:rPr>
      </w:pPr>
      <w:r>
        <w:rPr>
          <w:rFonts w:hint="eastAsia"/>
        </w:rPr>
        <w:t>合规义务的遵守情况；</w:t>
      </w:r>
    </w:p>
    <w:p w14:paraId="350442D0">
      <w:pPr>
        <w:pStyle w:val="174"/>
        <w:numPr>
          <w:ilvl w:val="0"/>
          <w:numId w:val="55"/>
        </w:numPr>
        <w:rPr>
          <w:rFonts w:hint="eastAsia"/>
        </w:rPr>
      </w:pPr>
      <w:r>
        <w:rPr>
          <w:rFonts w:hint="eastAsia"/>
        </w:rPr>
        <w:t>碳计量目标的实现程度及适宜性；</w:t>
      </w:r>
    </w:p>
    <w:p w14:paraId="07B27753">
      <w:pPr>
        <w:pStyle w:val="174"/>
        <w:numPr>
          <w:ilvl w:val="0"/>
          <w:numId w:val="55"/>
        </w:numPr>
        <w:rPr>
          <w:rFonts w:hint="eastAsia"/>
        </w:rPr>
      </w:pPr>
      <w:r>
        <w:rPr>
          <w:rFonts w:hint="eastAsia"/>
        </w:rPr>
        <w:t>日常监督和内部审核的结果；</w:t>
      </w:r>
    </w:p>
    <w:p w14:paraId="61226A52">
      <w:pPr>
        <w:pStyle w:val="174"/>
        <w:numPr>
          <w:ilvl w:val="0"/>
          <w:numId w:val="55"/>
        </w:numPr>
        <w:rPr>
          <w:rFonts w:hint="eastAsia"/>
        </w:rPr>
      </w:pPr>
      <w:r>
        <w:rPr>
          <w:rFonts w:hint="eastAsia"/>
        </w:rPr>
        <w:t>不符合项的纠正措施实施效果；</w:t>
      </w:r>
    </w:p>
    <w:p w14:paraId="6DEC286F">
      <w:pPr>
        <w:pStyle w:val="174"/>
        <w:numPr>
          <w:ilvl w:val="0"/>
          <w:numId w:val="55"/>
        </w:numPr>
        <w:rPr>
          <w:rFonts w:hint="eastAsia"/>
        </w:rPr>
      </w:pPr>
      <w:r>
        <w:rPr>
          <w:rFonts w:hint="eastAsia"/>
        </w:rPr>
        <w:t>内外部信息交流的结果；</w:t>
      </w:r>
    </w:p>
    <w:p w14:paraId="7E13F8B5">
      <w:pPr>
        <w:pStyle w:val="174"/>
        <w:numPr>
          <w:ilvl w:val="0"/>
          <w:numId w:val="55"/>
        </w:numPr>
        <w:rPr>
          <w:rFonts w:hint="eastAsia"/>
        </w:rPr>
      </w:pPr>
      <w:r>
        <w:rPr>
          <w:rFonts w:hint="eastAsia"/>
        </w:rPr>
        <w:t>资源配置的充分性（包括人员、计量器具、设施、资金等）；</w:t>
      </w:r>
    </w:p>
    <w:p w14:paraId="574AD9E9">
      <w:pPr>
        <w:pStyle w:val="174"/>
        <w:numPr>
          <w:ilvl w:val="0"/>
          <w:numId w:val="55"/>
        </w:numPr>
        <w:rPr>
          <w:rFonts w:hint="eastAsia"/>
        </w:rPr>
      </w:pPr>
      <w:r>
        <w:rPr>
          <w:rFonts w:hint="eastAsia"/>
        </w:rPr>
        <w:t>外部供方的服务质量评价结果；</w:t>
      </w:r>
    </w:p>
    <w:p w14:paraId="1DCC887C">
      <w:pPr>
        <w:pStyle w:val="174"/>
        <w:numPr>
          <w:ilvl w:val="0"/>
          <w:numId w:val="55"/>
        </w:numPr>
        <w:rPr>
          <w:rFonts w:hint="eastAsia"/>
        </w:rPr>
      </w:pPr>
      <w:r>
        <w:rPr>
          <w:rFonts w:hint="eastAsia"/>
        </w:rPr>
        <w:t>相关方的反馈意见；</w:t>
      </w:r>
    </w:p>
    <w:p w14:paraId="4CFBC61C">
      <w:pPr>
        <w:pStyle w:val="174"/>
        <w:numPr>
          <w:ilvl w:val="0"/>
          <w:numId w:val="55"/>
        </w:numPr>
        <w:rPr>
          <w:rFonts w:hint="eastAsia"/>
        </w:rPr>
      </w:pPr>
      <w:r>
        <w:rPr>
          <w:rFonts w:hint="eastAsia"/>
        </w:rPr>
        <w:t>改进建议和措施。</w:t>
      </w:r>
    </w:p>
    <w:p w14:paraId="12B9ED15">
      <w:pPr>
        <w:pStyle w:val="65"/>
        <w:spacing w:before="120" w:after="120"/>
        <w:rPr>
          <w:rFonts w:hint="eastAsia"/>
          <w:lang w:val="en-US" w:eastAsia="zh-CN"/>
        </w:rPr>
      </w:pPr>
      <w:r>
        <w:rPr>
          <w:rFonts w:hint="eastAsia"/>
          <w:lang w:val="en-US" w:eastAsia="zh-CN"/>
        </w:rPr>
        <w:t>评审报告</w:t>
      </w:r>
    </w:p>
    <w:p w14:paraId="061EB9CF">
      <w:pPr>
        <w:pStyle w:val="56"/>
        <w:ind w:firstLine="420"/>
        <w:rPr>
          <w:rFonts w:hint="eastAsia"/>
        </w:rPr>
      </w:pPr>
      <w:r>
        <w:rPr>
          <w:rFonts w:hint="eastAsia"/>
        </w:rPr>
        <w:t>管理评审结束后，应形成管理评审报告，明确评审结论、存在的问题及改进措施。报告经审批后，分发至相关部门执行。同时，将评审结果作为碳计量管理体系优化和资源配置调整的重要依据。</w:t>
      </w:r>
    </w:p>
    <w:p w14:paraId="23202223">
      <w:pPr>
        <w:pStyle w:val="104"/>
        <w:spacing w:before="240" w:after="240"/>
        <w:rPr>
          <w:rFonts w:hint="eastAsia"/>
          <w:lang w:val="en-US" w:eastAsia="zh-CN"/>
        </w:rPr>
      </w:pPr>
      <w:bookmarkStart w:id="57" w:name="_Toc10647"/>
      <w:r>
        <w:rPr>
          <w:rFonts w:hint="eastAsia"/>
          <w:lang w:val="en-US" w:eastAsia="zh-CN"/>
        </w:rPr>
        <w:t>持续改进</w:t>
      </w:r>
      <w:bookmarkEnd w:id="57"/>
    </w:p>
    <w:p w14:paraId="2C1603EF">
      <w:pPr>
        <w:pStyle w:val="105"/>
        <w:spacing w:before="120" w:after="120"/>
        <w:rPr>
          <w:rFonts w:hint="eastAsia"/>
          <w:lang w:val="en-US" w:eastAsia="zh-CN"/>
        </w:rPr>
      </w:pPr>
      <w:r>
        <w:rPr>
          <w:rFonts w:hint="eastAsia"/>
          <w:lang w:val="en-US" w:eastAsia="zh-CN"/>
        </w:rPr>
        <w:t>不符合项处理</w:t>
      </w:r>
    </w:p>
    <w:p w14:paraId="5F0CF648">
      <w:pPr>
        <w:pStyle w:val="65"/>
        <w:spacing w:before="120" w:after="120"/>
        <w:rPr>
          <w:rFonts w:hint="eastAsia"/>
          <w:lang w:val="en-US" w:eastAsia="zh-CN"/>
        </w:rPr>
      </w:pPr>
      <w:r>
        <w:rPr>
          <w:rFonts w:hint="eastAsia"/>
          <w:lang w:val="en-US" w:eastAsia="zh-CN"/>
        </w:rPr>
        <w:t>不符合项识别与报告</w:t>
      </w:r>
    </w:p>
    <w:p w14:paraId="4E1230B8">
      <w:pPr>
        <w:pStyle w:val="56"/>
        <w:ind w:firstLine="420"/>
        <w:rPr>
          <w:rFonts w:hint="eastAsia"/>
        </w:rPr>
      </w:pPr>
      <w:r>
        <w:rPr>
          <w:rFonts w:hint="eastAsia"/>
        </w:rPr>
        <w:t>通过日常监督、内部审核、管理评审、外部核查、相关方反馈等渠道，及时识别碳计量管理体系运行过程中的不符合项。任何人员发现不符合项后，应及时向碳计量主管部门报告，报告内容应包括不符合项的事实、发生地点、时间、相关证据等。</w:t>
      </w:r>
    </w:p>
    <w:p w14:paraId="584DCA10">
      <w:pPr>
        <w:pStyle w:val="65"/>
        <w:spacing w:before="120" w:after="120"/>
        <w:rPr>
          <w:rFonts w:hint="eastAsia"/>
          <w:lang w:val="en-US" w:eastAsia="zh-CN"/>
        </w:rPr>
      </w:pPr>
      <w:r>
        <w:rPr>
          <w:rFonts w:hint="eastAsia"/>
          <w:lang w:val="en-US" w:eastAsia="zh-CN"/>
        </w:rPr>
        <w:t>原因分析</w:t>
      </w:r>
    </w:p>
    <w:p w14:paraId="0704E5E5">
      <w:pPr>
        <w:pStyle w:val="56"/>
        <w:ind w:firstLine="420"/>
        <w:rPr>
          <w:rFonts w:hint="eastAsia"/>
        </w:rPr>
      </w:pPr>
      <w:r>
        <w:rPr>
          <w:rFonts w:hint="eastAsia"/>
        </w:rPr>
        <w:t>碳计量主管部门组织相关部门和人员对不符合项进行深入分析，查明其根本原因，包括制度不完善、执行不到位、人员能力不足、计量器具故障、流程不合理等。</w:t>
      </w:r>
    </w:p>
    <w:p w14:paraId="5F23295C">
      <w:pPr>
        <w:pStyle w:val="65"/>
        <w:spacing w:before="120" w:after="120"/>
        <w:rPr>
          <w:rFonts w:hint="eastAsia"/>
          <w:lang w:val="en-US" w:eastAsia="zh-CN"/>
        </w:rPr>
      </w:pPr>
      <w:r>
        <w:rPr>
          <w:rFonts w:hint="eastAsia"/>
          <w:lang w:val="en-US" w:eastAsia="zh-CN"/>
        </w:rPr>
        <w:t>纠正措施制定与实施</w:t>
      </w:r>
    </w:p>
    <w:p w14:paraId="4DF695E9">
      <w:pPr>
        <w:pStyle w:val="56"/>
        <w:ind w:firstLine="420"/>
        <w:rPr>
          <w:rFonts w:hint="eastAsia"/>
        </w:rPr>
      </w:pPr>
      <w:r>
        <w:rPr>
          <w:rFonts w:hint="eastAsia"/>
        </w:rPr>
        <w:t>针对不符合项的根本原因，制定切实可行的纠正措施，明确责任部门、责任人、完成时限和验证标准。责任部门应严格按照纠正措施的要求组织实施，确保在规定时间内完成整改。</w:t>
      </w:r>
    </w:p>
    <w:p w14:paraId="319ACAD2">
      <w:pPr>
        <w:pStyle w:val="65"/>
        <w:spacing w:before="120" w:after="120"/>
        <w:rPr>
          <w:rFonts w:hint="eastAsia"/>
          <w:lang w:val="en-US" w:eastAsia="zh-CN"/>
        </w:rPr>
      </w:pPr>
      <w:r>
        <w:rPr>
          <w:rFonts w:hint="eastAsia"/>
          <w:lang w:val="en-US" w:eastAsia="zh-CN"/>
        </w:rPr>
        <w:t>效果验证与记录</w:t>
      </w:r>
    </w:p>
    <w:p w14:paraId="3E0037D0">
      <w:pPr>
        <w:pStyle w:val="56"/>
        <w:ind w:firstLine="420"/>
        <w:rPr>
          <w:rFonts w:hint="eastAsia"/>
        </w:rPr>
      </w:pPr>
      <w:r>
        <w:rPr>
          <w:rFonts w:hint="eastAsia"/>
        </w:rPr>
        <w:t>碳计量主管部门对纠正措施的实施效果进行验证，确认不符合项已得到有效解决。同时，做好不符合项处理的全过程记录，包括识别报告、原因分析、纠正措施、实施情况、效果验证等，存入档案备查。</w:t>
      </w:r>
    </w:p>
    <w:p w14:paraId="76EB984E">
      <w:pPr>
        <w:pStyle w:val="105"/>
        <w:spacing w:before="120" w:after="120"/>
        <w:rPr>
          <w:rFonts w:hint="eastAsia"/>
          <w:lang w:val="en-US" w:eastAsia="zh-CN"/>
        </w:rPr>
      </w:pPr>
      <w:r>
        <w:rPr>
          <w:rFonts w:hint="eastAsia"/>
          <w:lang w:val="en-US" w:eastAsia="zh-CN"/>
        </w:rPr>
        <w:t>持续改进机制</w:t>
      </w:r>
    </w:p>
    <w:p w14:paraId="12467C70">
      <w:pPr>
        <w:pStyle w:val="65"/>
        <w:spacing w:before="120" w:after="120"/>
        <w:rPr>
          <w:rFonts w:hint="eastAsia"/>
          <w:lang w:val="en-US" w:eastAsia="zh-CN"/>
        </w:rPr>
      </w:pPr>
      <w:r>
        <w:rPr>
          <w:rFonts w:hint="eastAsia"/>
          <w:lang w:val="en-US" w:eastAsia="zh-CN"/>
        </w:rPr>
        <w:t>改进机会识别</w:t>
      </w:r>
    </w:p>
    <w:p w14:paraId="2EC836A9">
      <w:pPr>
        <w:pStyle w:val="56"/>
        <w:ind w:firstLine="420"/>
        <w:rPr>
          <w:rFonts w:hint="eastAsia"/>
        </w:rPr>
      </w:pPr>
      <w:r>
        <w:rPr>
          <w:rFonts w:hint="eastAsia"/>
        </w:rPr>
        <w:t>重点排放单位应建立常态化的改进机会识别机制，通过分析日常监督数据、内部审核结果、管理评审结论、碳排放数据趋势、行业先进经验等，主动寻找碳计量管理体系的改进空间。</w:t>
      </w:r>
    </w:p>
    <w:p w14:paraId="36800E16">
      <w:pPr>
        <w:pStyle w:val="65"/>
        <w:spacing w:before="120" w:after="120"/>
        <w:rPr>
          <w:rFonts w:hint="eastAsia"/>
          <w:lang w:val="en-US" w:eastAsia="zh-CN"/>
        </w:rPr>
      </w:pPr>
      <w:r>
        <w:rPr>
          <w:rFonts w:hint="eastAsia"/>
          <w:lang w:val="en-US" w:eastAsia="zh-CN"/>
        </w:rPr>
        <w:t>改进措施制定与实施</w:t>
      </w:r>
    </w:p>
    <w:p w14:paraId="009112EB">
      <w:pPr>
        <w:pStyle w:val="56"/>
        <w:ind w:firstLine="420"/>
        <w:rPr>
          <w:rFonts w:hint="eastAsia"/>
        </w:rPr>
      </w:pPr>
      <w:r>
        <w:rPr>
          <w:rFonts w:hint="eastAsia"/>
        </w:rPr>
        <w:t>针对识别出的改进机会，制定持续改进计划，明确改进目标、措施、责任部门、完成时限等。改进措施可包括制度优化、流程再造、技术升级、人员培训、资源优化配置等方面。各相关部门应协同配合，确保改进措施有效实施。</w:t>
      </w:r>
    </w:p>
    <w:p w14:paraId="16E6BF92">
      <w:pPr>
        <w:pStyle w:val="65"/>
        <w:spacing w:before="120" w:after="120"/>
        <w:rPr>
          <w:rFonts w:hint="eastAsia"/>
          <w:lang w:val="en-US" w:eastAsia="zh-CN"/>
        </w:rPr>
      </w:pPr>
      <w:r>
        <w:rPr>
          <w:rFonts w:hint="eastAsia"/>
          <w:lang w:val="en-US" w:eastAsia="zh-CN"/>
        </w:rPr>
        <w:t>改进效果评价</w:t>
      </w:r>
    </w:p>
    <w:p w14:paraId="221984DE">
      <w:pPr>
        <w:pStyle w:val="56"/>
        <w:ind w:firstLine="420"/>
        <w:rPr>
          <w:rFonts w:hint="eastAsia"/>
        </w:rPr>
      </w:pPr>
      <w:r>
        <w:rPr>
          <w:rFonts w:hint="eastAsia"/>
        </w:rPr>
        <w:t>定期对改进措施的实施效果进行评价，验证改进目标的实现程度。评价结果应作为后续改进工作的重要依据，不断优化改进方案，形成“识别-改进-评价-再改进”的闭环管理机制，持续提升碳计量管理体系的有效性和适宜性。</w:t>
      </w:r>
    </w:p>
    <w:p w14:paraId="130DCCD0">
      <w:pPr>
        <w:pStyle w:val="105"/>
        <w:spacing w:before="120" w:after="120"/>
        <w:rPr>
          <w:rFonts w:hint="eastAsia"/>
          <w:lang w:val="en-US" w:eastAsia="zh-CN"/>
        </w:rPr>
      </w:pPr>
      <w:r>
        <w:rPr>
          <w:rFonts w:hint="eastAsia"/>
          <w:lang w:val="en-US" w:eastAsia="zh-CN"/>
        </w:rPr>
        <w:t>创新与提升</w:t>
      </w:r>
    </w:p>
    <w:p w14:paraId="5B030AD1">
      <w:pPr>
        <w:pStyle w:val="56"/>
        <w:ind w:firstLine="420"/>
        <w:rPr>
          <w:rFonts w:hint="eastAsia"/>
        </w:rPr>
      </w:pPr>
      <w:r>
        <w:rPr>
          <w:rFonts w:hint="eastAsia"/>
        </w:rPr>
        <w:t>鼓励重点排放单位积极采用先进的碳计量技术和管理方法，开展碳计量管理创新。加强与同行业企业、科研机构、专业服务机构的交流与合作，学习借鉴先进经验，不断提升碳计量数据质量和管理水平，为单位的绿色低碳发展提供有力支撑。</w:t>
      </w:r>
    </w:p>
    <w:p w14:paraId="1331D3D1">
      <w:pPr>
        <w:pStyle w:val="56"/>
        <w:ind w:firstLine="420"/>
      </w:pPr>
    </w:p>
    <w:p w14:paraId="1B172938">
      <w:pPr>
        <w:pStyle w:val="56"/>
        <w:ind w:firstLine="420"/>
      </w:pPr>
    </w:p>
    <w:bookmarkEnd w:id="24"/>
    <w:p w14:paraId="086F0159">
      <w:pPr>
        <w:pStyle w:val="56"/>
        <w:ind w:firstLine="420"/>
        <w:sectPr>
          <w:pgSz w:w="11906" w:h="16838"/>
          <w:pgMar w:top="1928" w:right="1134" w:bottom="1134" w:left="1134" w:header="1418" w:footer="1134" w:gutter="284"/>
          <w:pgNumType w:start="1"/>
          <w:cols w:space="425" w:num="1"/>
          <w:formProt w:val="0"/>
          <w:docGrid w:linePitch="312" w:charSpace="0"/>
        </w:sectPr>
      </w:pPr>
      <w:bookmarkStart w:id="58" w:name="BookMark6"/>
    </w:p>
    <w:p w14:paraId="1532525D">
      <w:pPr>
        <w:pStyle w:val="63"/>
        <w:spacing w:after="120"/>
      </w:pPr>
      <w:bookmarkStart w:id="59" w:name="_Toc29894"/>
      <w:r>
        <w:rPr>
          <w:rFonts w:hint="eastAsia"/>
          <w:spacing w:val="105"/>
        </w:rPr>
        <w:t>参考文</w:t>
      </w:r>
      <w:r>
        <w:rPr>
          <w:rFonts w:hint="eastAsia"/>
        </w:rPr>
        <w:t>献</w:t>
      </w:r>
      <w:bookmarkEnd w:id="59"/>
    </w:p>
    <w:p w14:paraId="5B941B78">
      <w:pPr>
        <w:pStyle w:val="56"/>
        <w:ind w:firstLine="420"/>
      </w:pPr>
      <w:r>
        <w:rPr>
          <w:rFonts w:hint="eastAsia"/>
        </w:rPr>
        <w:t>[1]  GB/T 23331-2020 能源管理体系 要求及使用指南</w:t>
      </w:r>
    </w:p>
    <w:p w14:paraId="5BEEB118">
      <w:pPr>
        <w:pStyle w:val="56"/>
        <w:ind w:firstLine="420"/>
      </w:pPr>
      <w:r>
        <w:rPr>
          <w:rFonts w:hint="eastAsia"/>
        </w:rPr>
        <w:t>[2]  JJF 1356-2012 重点用能单位能源计量审查规范</w:t>
      </w:r>
    </w:p>
    <w:p w14:paraId="1C206B18">
      <w:pPr>
        <w:pStyle w:val="56"/>
        <w:ind w:firstLine="420"/>
        <w:rPr>
          <w:rFonts w:hint="eastAsia"/>
        </w:rPr>
      </w:pPr>
      <w:r>
        <w:rPr>
          <w:rFonts w:hint="eastAsia"/>
        </w:rPr>
        <w:t>[3]  《碳排放权交易管理办法（试行）》（生态环境部令第19号）</w:t>
      </w:r>
    </w:p>
    <w:p w14:paraId="301D8B25">
      <w:pPr>
        <w:pStyle w:val="56"/>
        <w:ind w:firstLine="420"/>
        <w:rPr>
          <w:rFonts w:hint="eastAsia"/>
        </w:rPr>
      </w:pPr>
      <w:r>
        <w:rPr>
          <w:rFonts w:hint="eastAsia"/>
        </w:rPr>
        <w:t>[</w:t>
      </w:r>
      <w:r>
        <w:rPr>
          <w:rFonts w:hint="eastAsia"/>
          <w:lang w:val="en-US" w:eastAsia="zh-CN"/>
        </w:rPr>
        <w:t>4</w:t>
      </w:r>
      <w:r>
        <w:rPr>
          <w:rFonts w:hint="eastAsia"/>
        </w:rPr>
        <w:t>]  《重点行业碳排放核算方法与报告指南（试行）》（生态环境部公告2021年第14号）</w:t>
      </w:r>
    </w:p>
    <w:bookmarkEnd w:id="58"/>
    <w:p w14:paraId="6B7CED07">
      <w:pPr>
        <w:pStyle w:val="56"/>
        <w:ind w:firstLine="0" w:firstLineChars="0"/>
        <w:jc w:val="center"/>
      </w:pPr>
      <w:bookmarkStart w:id="60" w:name="BookMark8"/>
      <w:r>
        <w:drawing>
          <wp:inline distT="0" distB="0" distL="0" distR="0">
            <wp:extent cx="1485900" cy="317500"/>
            <wp:effectExtent l="0" t="0" r="0" b="6350"/>
            <wp:docPr id="848979919" name="图片 1"/>
            <wp:cNvGraphicFramePr/>
            <a:graphic xmlns:a="http://schemas.openxmlformats.org/drawingml/2006/main">
              <a:graphicData uri="http://schemas.openxmlformats.org/drawingml/2006/picture">
                <pic:pic xmlns:pic="http://schemas.openxmlformats.org/drawingml/2006/picture">
                  <pic:nvPicPr>
                    <pic:cNvPr id="848979919"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60F6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5EF2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102D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51B7D">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074F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F2C2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3F51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7C1B4">
    <w:pPr>
      <w:pStyle w:val="61"/>
      <w:rPr>
        <w:rFonts w:hint="eastAsia"/>
      </w:rPr>
    </w:pPr>
    <w:r>
      <w:fldChar w:fldCharType="begin"/>
    </w:r>
    <w:r>
      <w:instrText xml:space="preserve"> STYLEREF  标准文件_文件编号  \* MERGEFORMAT </w:instrText>
    </w:r>
    <w:r>
      <w:fldChar w:fldCharType="separate"/>
    </w:r>
    <w:r>
      <w:t>T/{ FORMTEXT } { FORMTEXT }—{ FORMTEXT }</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3998E">
    <w:pPr>
      <w:pStyle w:val="18"/>
      <w:jc w:val="right"/>
    </w:pPr>
    <w:r>
      <w:fldChar w:fldCharType="begin"/>
    </w:r>
    <w:r>
      <w:instrText xml:space="preserve"> STYLEREF  标准文件_文件编号  \* MERGEFORMAT </w:instrText>
    </w:r>
    <w:r>
      <w:fldChar w:fldCharType="separate"/>
    </w:r>
    <w:r>
      <w:t>T/{ FORMTEXT } { FORMTEXT }—{ FORMTEXT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YwkXn5srZ9ayNWHA4xsWi9rDbHcV3/UbtNxMr2X0txS6cRyHo7PrMKvWoBBuqaiLkxJR4YkahIbF/2T0GvWYpg==" w:salt="n+VxDrBlvDSNfOhddcpN0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859"/>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70D"/>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DEA"/>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EB"/>
    <w:rsid w:val="00561475"/>
    <w:rsid w:val="00562308"/>
    <w:rsid w:val="0056487B"/>
    <w:rsid w:val="00564FB9"/>
    <w:rsid w:val="00573D9E"/>
    <w:rsid w:val="005801E3"/>
    <w:rsid w:val="00581802"/>
    <w:rsid w:val="005836A8"/>
    <w:rsid w:val="0058409C"/>
    <w:rsid w:val="00584262"/>
    <w:rsid w:val="00585D00"/>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3F0"/>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339"/>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20E"/>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7A8"/>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76A"/>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780"/>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859"/>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D72"/>
    <w:rsid w:val="00D66846"/>
    <w:rsid w:val="00D675FB"/>
    <w:rsid w:val="00D71F25"/>
    <w:rsid w:val="00D72A9C"/>
    <w:rsid w:val="00D74AC6"/>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2D0"/>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201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492"/>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3D460F"/>
    <w:rsid w:val="12B22B89"/>
    <w:rsid w:val="13744D82"/>
    <w:rsid w:val="1EB53B30"/>
    <w:rsid w:val="277F2F2D"/>
    <w:rsid w:val="33F15653"/>
    <w:rsid w:val="3A4F76E7"/>
    <w:rsid w:val="3B564448"/>
    <w:rsid w:val="492B486B"/>
    <w:rsid w:val="70530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A0135BBEF4249A3B75861AE5449DAB2"/>
        <w:style w:val=""/>
        <w:category>
          <w:name w:val="常规"/>
          <w:gallery w:val="placeholder"/>
        </w:category>
        <w:types>
          <w:type w:val="bbPlcHdr"/>
        </w:types>
        <w:behaviors>
          <w:behavior w:val="content"/>
        </w:behaviors>
        <w:description w:val=""/>
        <w:guid w:val="{2C471512-AC45-48BC-A0D9-7BD4425587F9}"/>
      </w:docPartPr>
      <w:docPartBody>
        <w:p w14:paraId="08635EC0">
          <w:pPr>
            <w:pStyle w:val="5"/>
            <w:rPr>
              <w:rFonts w:hint="eastAsia"/>
            </w:rPr>
          </w:pPr>
          <w:r>
            <w:rPr>
              <w:rStyle w:val="4"/>
              <w:rFonts w:hint="eastAsia"/>
            </w:rPr>
            <w:t>单击或点击此处输入文字。</w:t>
          </w:r>
        </w:p>
      </w:docPartBody>
    </w:docPart>
    <w:docPart>
      <w:docPartPr>
        <w:name w:val="0F9EC3DBE80444098CDC60318711D6E7"/>
        <w:style w:val=""/>
        <w:category>
          <w:name w:val="常规"/>
          <w:gallery w:val="placeholder"/>
        </w:category>
        <w:types>
          <w:type w:val="bbPlcHdr"/>
        </w:types>
        <w:behaviors>
          <w:behavior w:val="content"/>
        </w:behaviors>
        <w:description w:val=""/>
        <w:guid w:val="{2B4FB82C-74E1-4C6E-B774-0B45B6CEE3AC}"/>
      </w:docPartPr>
      <w:docPartBody>
        <w:p w14:paraId="7A1A52BD">
          <w:pPr>
            <w:pStyle w:val="6"/>
            <w:rPr>
              <w:rFonts w:hint="eastAsia"/>
            </w:rPr>
          </w:pPr>
          <w:r>
            <w:rPr>
              <w:rStyle w:val="4"/>
              <w:rFonts w:hint="eastAsia"/>
            </w:rPr>
            <w:t>选择一项。</w:t>
          </w:r>
        </w:p>
      </w:docPartBody>
    </w:docPart>
    <w:docPart>
      <w:docPartPr>
        <w:name w:val="{64c8ecb1-c680-45ea-8c6f-568a3bd8e405}"/>
        <w:style w:val=""/>
        <w:category>
          <w:name w:val="常规"/>
          <w:gallery w:val="placeholder"/>
        </w:category>
        <w:types>
          <w:type w:val="bbPlcHdr"/>
        </w:types>
        <w:behaviors>
          <w:behavior w:val="content"/>
        </w:behaviors>
        <w:description w:val=""/>
        <w:guid w:val="{64c8ecb1-c680-45ea-8c6f-568a3bd8e405}"/>
      </w:docPartPr>
      <w:docPartBody>
        <w:p w14:paraId="0D8F6615">
          <w:pPr>
            <w:pStyle w:val="8"/>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090"/>
    <w:rsid w:val="00093D4D"/>
    <w:rsid w:val="002D0DEA"/>
    <w:rsid w:val="00631424"/>
    <w:rsid w:val="00662090"/>
    <w:rsid w:val="00A66B66"/>
    <w:rsid w:val="00B3576A"/>
    <w:rsid w:val="00FD1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3A0135BBEF4249A3B75861AE5449DAB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F9EC3DBE80444098CDC60318711D6E7"/>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211D85FCF334109B7BC4D41CC83179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C2759B34BE944606859D3FAF286B92E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14</Pages>
  <Words>9428</Words>
  <Characters>9921</Characters>
  <Lines>52</Lines>
  <Paragraphs>14</Paragraphs>
  <TotalTime>1</TotalTime>
  <ScaleCrop>false</ScaleCrop>
  <LinksUpToDate>false</LinksUpToDate>
  <CharactersWithSpaces>10039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2025-12-02T10:44:00Z</dcterms:created>
  <dc:creator>hello</dc:creator>
  <cp:lastModifiedBy>新疆质检协会</cp:lastModifiedBy>
  <cp:lastPrinted>2025-12-02T11:14:00Z</cp:lastPrinted>
  <dcterms:modified xsi:type="dcterms:W3CDTF">2026-02-10T03:59:40Z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03D8D49F940C4D47809611831FD43F84_13</vt:lpwstr>
  </property>
  <property fmtid="{D5CDD505-2E9C-101B-9397-08002B2CF9AE}" pid="16" name="KSOTemplateDocerSaveRecord">
    <vt:lpwstr>eyJoZGlkIjoiNGVkZGExMTRiZTIyZWRiMTkxMmJiMzM2M2MwYWQ4ODkiLCJ1c2VySWQiOiIxNTE3NjU2MjE2In0=</vt:lpwstr>
  </property>
</Properties>
</file>